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FADE" w14:textId="74FA8275" w:rsidR="61D1E709" w:rsidRDefault="61D1E709" w:rsidP="7F3E43CD">
      <w:pPr>
        <w:jc w:val="center"/>
        <w:rPr>
          <w:b/>
          <w:bCs/>
          <w:sz w:val="28"/>
          <w:szCs w:val="28"/>
          <w:u w:val="single"/>
        </w:rPr>
      </w:pPr>
      <w:r w:rsidRPr="7F3E43CD">
        <w:rPr>
          <w:b/>
          <w:bCs/>
          <w:sz w:val="28"/>
          <w:szCs w:val="28"/>
          <w:u w:val="single"/>
        </w:rPr>
        <w:t xml:space="preserve">SINGAPORE’S REPORT </w:t>
      </w:r>
      <w:r w:rsidR="7606F895" w:rsidRPr="7F3E43CD">
        <w:rPr>
          <w:b/>
          <w:bCs/>
          <w:sz w:val="28"/>
          <w:szCs w:val="28"/>
          <w:u w:val="single"/>
        </w:rPr>
        <w:t>2024</w:t>
      </w:r>
    </w:p>
    <w:p w14:paraId="642FDF14" w14:textId="13882F55" w:rsidR="61D1E709" w:rsidRDefault="61D1E709" w:rsidP="2352DAB0">
      <w:pPr>
        <w:jc w:val="center"/>
      </w:pPr>
      <w:r>
        <w:t xml:space="preserve">Implementation of the Beijing Declaration and Platform for </w:t>
      </w:r>
      <w:r w:rsidR="4093FCF6">
        <w:t>Action</w:t>
      </w:r>
      <w:r>
        <w:t xml:space="preserve"> (BDPA) (1995) </w:t>
      </w:r>
    </w:p>
    <w:bookmarkStart w:id="0" w:name="_Toc169709863" w:displacedByCustomXml="next"/>
    <w:sdt>
      <w:sdtPr>
        <w:rPr>
          <w:rFonts w:asciiTheme="minorHAnsi" w:eastAsiaTheme="minorEastAsia" w:hAnsiTheme="minorHAnsi" w:cstheme="minorBidi"/>
          <w:color w:val="auto"/>
          <w:sz w:val="22"/>
          <w:szCs w:val="22"/>
        </w:rPr>
        <w:id w:val="-1507744286"/>
        <w:docPartObj>
          <w:docPartGallery w:val="Table of Contents"/>
          <w:docPartUnique/>
        </w:docPartObj>
      </w:sdtPr>
      <w:sdtEndPr>
        <w:rPr>
          <w:b/>
          <w:bCs/>
        </w:rPr>
      </w:sdtEndPr>
      <w:sdtContent>
        <w:p w14:paraId="579CD75A" w14:textId="43C40C1A" w:rsidR="00EA1097" w:rsidRPr="00642401" w:rsidRDefault="00EA1097" w:rsidP="00642401">
          <w:pPr>
            <w:pStyle w:val="Heading1"/>
            <w:rPr>
              <w:rStyle w:val="Heading1Char"/>
              <w:b/>
            </w:rPr>
          </w:pPr>
          <w:r w:rsidRPr="00642401">
            <w:rPr>
              <w:rStyle w:val="Heading1Char"/>
              <w:b/>
            </w:rPr>
            <w:t>Contents</w:t>
          </w:r>
          <w:bookmarkEnd w:id="0"/>
        </w:p>
        <w:p w14:paraId="4E4D5029" w14:textId="7AB49892" w:rsidR="004F6D71" w:rsidRDefault="00EA1097" w:rsidP="00A62DB5">
          <w:pPr>
            <w:pStyle w:val="TOC1"/>
            <w:rPr>
              <w:rFonts w:eastAsiaTheme="minorEastAsia"/>
              <w:noProof/>
              <w:kern w:val="2"/>
              <w:sz w:val="24"/>
              <w:szCs w:val="24"/>
              <w:lang w:eastAsia="zh-CN"/>
              <w14:ligatures w14:val="standardContextual"/>
            </w:rPr>
          </w:pPr>
          <w:r>
            <w:fldChar w:fldCharType="begin"/>
          </w:r>
          <w:r>
            <w:instrText xml:space="preserve"> TOC \o "1-3" \h \z \u </w:instrText>
          </w:r>
          <w:r>
            <w:fldChar w:fldCharType="separate"/>
          </w:r>
          <w:hyperlink w:anchor="_Toc169709863" w:history="1">
            <w:r w:rsidR="004F6D71" w:rsidRPr="004F4997">
              <w:rPr>
                <w:rStyle w:val="Hyperlink"/>
                <w:b/>
                <w:noProof/>
              </w:rPr>
              <w:t>Contents</w:t>
            </w:r>
            <w:r w:rsidR="004F6D71">
              <w:rPr>
                <w:noProof/>
                <w:webHidden/>
              </w:rPr>
              <w:tab/>
            </w:r>
            <w:r w:rsidR="004F6D71">
              <w:rPr>
                <w:noProof/>
                <w:webHidden/>
              </w:rPr>
              <w:fldChar w:fldCharType="begin"/>
            </w:r>
            <w:r w:rsidR="004F6D71">
              <w:rPr>
                <w:noProof/>
                <w:webHidden/>
              </w:rPr>
              <w:instrText xml:space="preserve"> PAGEREF _Toc169709863 \h </w:instrText>
            </w:r>
            <w:r w:rsidR="004F6D71">
              <w:rPr>
                <w:noProof/>
                <w:webHidden/>
              </w:rPr>
            </w:r>
            <w:r w:rsidR="004F6D71">
              <w:rPr>
                <w:noProof/>
                <w:webHidden/>
              </w:rPr>
              <w:fldChar w:fldCharType="separate"/>
            </w:r>
            <w:r w:rsidR="000415B2">
              <w:rPr>
                <w:noProof/>
                <w:webHidden/>
              </w:rPr>
              <w:t>1</w:t>
            </w:r>
            <w:r w:rsidR="004F6D71">
              <w:rPr>
                <w:noProof/>
                <w:webHidden/>
              </w:rPr>
              <w:fldChar w:fldCharType="end"/>
            </w:r>
          </w:hyperlink>
        </w:p>
        <w:p w14:paraId="070919D4" w14:textId="34935AA8" w:rsidR="004F6D71" w:rsidRDefault="00000000" w:rsidP="00A62DB5">
          <w:pPr>
            <w:pStyle w:val="TOC1"/>
            <w:rPr>
              <w:rFonts w:eastAsiaTheme="minorEastAsia"/>
              <w:noProof/>
              <w:kern w:val="2"/>
              <w:sz w:val="24"/>
              <w:szCs w:val="24"/>
              <w:lang w:eastAsia="zh-CN"/>
              <w14:ligatures w14:val="standardContextual"/>
            </w:rPr>
          </w:pPr>
          <w:hyperlink w:anchor="_Toc169709864" w:history="1">
            <w:r w:rsidR="004F6D71" w:rsidRPr="004F4997">
              <w:rPr>
                <w:rStyle w:val="Hyperlink"/>
                <w:b/>
                <w:bCs/>
                <w:noProof/>
              </w:rPr>
              <w:t>Section One: Highlights</w:t>
            </w:r>
            <w:r w:rsidR="004F6D71">
              <w:rPr>
                <w:noProof/>
                <w:webHidden/>
              </w:rPr>
              <w:tab/>
            </w:r>
            <w:r w:rsidR="004F6D71">
              <w:rPr>
                <w:noProof/>
                <w:webHidden/>
              </w:rPr>
              <w:fldChar w:fldCharType="begin"/>
            </w:r>
            <w:r w:rsidR="004F6D71">
              <w:rPr>
                <w:noProof/>
                <w:webHidden/>
              </w:rPr>
              <w:instrText xml:space="preserve"> PAGEREF _Toc169709864 \h </w:instrText>
            </w:r>
            <w:r w:rsidR="004F6D71">
              <w:rPr>
                <w:noProof/>
                <w:webHidden/>
              </w:rPr>
            </w:r>
            <w:r w:rsidR="004F6D71">
              <w:rPr>
                <w:noProof/>
                <w:webHidden/>
              </w:rPr>
              <w:fldChar w:fldCharType="separate"/>
            </w:r>
            <w:r w:rsidR="000415B2">
              <w:rPr>
                <w:noProof/>
                <w:webHidden/>
              </w:rPr>
              <w:t>3</w:t>
            </w:r>
            <w:r w:rsidR="004F6D71">
              <w:rPr>
                <w:noProof/>
                <w:webHidden/>
              </w:rPr>
              <w:fldChar w:fldCharType="end"/>
            </w:r>
          </w:hyperlink>
        </w:p>
        <w:p w14:paraId="033080D5" w14:textId="516B32B0" w:rsidR="004F6D71" w:rsidRDefault="00000000" w:rsidP="00A62DB5">
          <w:pPr>
            <w:pStyle w:val="TOC1"/>
            <w:rPr>
              <w:rFonts w:eastAsiaTheme="minorEastAsia"/>
              <w:noProof/>
              <w:kern w:val="2"/>
              <w:sz w:val="24"/>
              <w:szCs w:val="24"/>
              <w:lang w:eastAsia="zh-CN"/>
              <w14:ligatures w14:val="standardContextual"/>
            </w:rPr>
          </w:pPr>
          <w:hyperlink w:anchor="_Toc169709865" w:history="1">
            <w:r w:rsidR="004F6D71" w:rsidRPr="004F4997">
              <w:rPr>
                <w:rStyle w:val="Hyperlink"/>
                <w:b/>
                <w:bCs/>
                <w:noProof/>
              </w:rPr>
              <w:t>Section Two: Priorities, achievements, challenges and setbacks</w:t>
            </w:r>
            <w:r w:rsidR="004F6D71">
              <w:rPr>
                <w:noProof/>
                <w:webHidden/>
              </w:rPr>
              <w:tab/>
            </w:r>
            <w:r w:rsidR="004F6D71">
              <w:rPr>
                <w:noProof/>
                <w:webHidden/>
              </w:rPr>
              <w:fldChar w:fldCharType="begin"/>
            </w:r>
            <w:r w:rsidR="004F6D71">
              <w:rPr>
                <w:noProof/>
                <w:webHidden/>
              </w:rPr>
              <w:instrText xml:space="preserve"> PAGEREF _Toc169709865 \h </w:instrText>
            </w:r>
            <w:r w:rsidR="004F6D71">
              <w:rPr>
                <w:noProof/>
                <w:webHidden/>
              </w:rPr>
            </w:r>
            <w:r w:rsidR="004F6D71">
              <w:rPr>
                <w:noProof/>
                <w:webHidden/>
              </w:rPr>
              <w:fldChar w:fldCharType="separate"/>
            </w:r>
            <w:r w:rsidR="000415B2">
              <w:rPr>
                <w:noProof/>
                <w:webHidden/>
              </w:rPr>
              <w:t>4</w:t>
            </w:r>
            <w:r w:rsidR="004F6D71">
              <w:rPr>
                <w:noProof/>
                <w:webHidden/>
              </w:rPr>
              <w:fldChar w:fldCharType="end"/>
            </w:r>
          </w:hyperlink>
        </w:p>
        <w:p w14:paraId="76CB224C" w14:textId="297060EA" w:rsidR="004F6D71" w:rsidRDefault="00000000">
          <w:pPr>
            <w:pStyle w:val="TOC2"/>
            <w:rPr>
              <w:rFonts w:eastAsiaTheme="minorEastAsia"/>
              <w:noProof/>
              <w:kern w:val="2"/>
              <w:sz w:val="24"/>
              <w:szCs w:val="24"/>
              <w:lang w:eastAsia="zh-CN"/>
              <w14:ligatures w14:val="standardContextual"/>
            </w:rPr>
          </w:pPr>
          <w:hyperlink w:anchor="_Toc169709866" w:history="1">
            <w:r w:rsidR="004F6D71" w:rsidRPr="004F4997">
              <w:rPr>
                <w:rStyle w:val="Hyperlink"/>
                <w:b/>
                <w:noProof/>
              </w:rPr>
              <w:t>A.</w:t>
            </w:r>
            <w:r w:rsidR="004F6D71">
              <w:rPr>
                <w:rFonts w:eastAsiaTheme="minorEastAsia"/>
                <w:noProof/>
                <w:kern w:val="2"/>
                <w:sz w:val="24"/>
                <w:szCs w:val="24"/>
                <w:lang w:eastAsia="zh-CN"/>
                <w14:ligatures w14:val="standardContextual"/>
              </w:rPr>
              <w:tab/>
            </w:r>
            <w:r w:rsidR="004F6D71" w:rsidRPr="004F4997">
              <w:rPr>
                <w:rStyle w:val="Hyperlink"/>
                <w:b/>
                <w:noProof/>
              </w:rPr>
              <w:t>Increased Women’s Participation in the Labour Force</w:t>
            </w:r>
            <w:r w:rsidR="004F6D71">
              <w:rPr>
                <w:noProof/>
                <w:webHidden/>
              </w:rPr>
              <w:tab/>
            </w:r>
            <w:r w:rsidR="004F6D71">
              <w:rPr>
                <w:noProof/>
                <w:webHidden/>
              </w:rPr>
              <w:fldChar w:fldCharType="begin"/>
            </w:r>
            <w:r w:rsidR="004F6D71">
              <w:rPr>
                <w:noProof/>
                <w:webHidden/>
              </w:rPr>
              <w:instrText xml:space="preserve"> PAGEREF _Toc169709866 \h </w:instrText>
            </w:r>
            <w:r w:rsidR="004F6D71">
              <w:rPr>
                <w:noProof/>
                <w:webHidden/>
              </w:rPr>
            </w:r>
            <w:r w:rsidR="004F6D71">
              <w:rPr>
                <w:noProof/>
                <w:webHidden/>
              </w:rPr>
              <w:fldChar w:fldCharType="separate"/>
            </w:r>
            <w:r w:rsidR="000415B2">
              <w:rPr>
                <w:noProof/>
                <w:webHidden/>
              </w:rPr>
              <w:t>4</w:t>
            </w:r>
            <w:r w:rsidR="004F6D71">
              <w:rPr>
                <w:noProof/>
                <w:webHidden/>
              </w:rPr>
              <w:fldChar w:fldCharType="end"/>
            </w:r>
          </w:hyperlink>
        </w:p>
        <w:p w14:paraId="69EFC348" w14:textId="38053D29" w:rsidR="004F6D71" w:rsidRDefault="00000000">
          <w:pPr>
            <w:pStyle w:val="TOC2"/>
            <w:rPr>
              <w:rFonts w:eastAsiaTheme="minorEastAsia"/>
              <w:noProof/>
              <w:kern w:val="2"/>
              <w:sz w:val="24"/>
              <w:szCs w:val="24"/>
              <w:lang w:eastAsia="zh-CN"/>
              <w14:ligatures w14:val="standardContextual"/>
            </w:rPr>
          </w:pPr>
          <w:hyperlink w:anchor="_Toc169709867" w:history="1">
            <w:r w:rsidR="004F6D71" w:rsidRPr="004F4997">
              <w:rPr>
                <w:rStyle w:val="Hyperlink"/>
                <w:b/>
                <w:bCs/>
                <w:noProof/>
              </w:rPr>
              <w:t>B.</w:t>
            </w:r>
            <w:r w:rsidR="004F6D71">
              <w:rPr>
                <w:rFonts w:eastAsiaTheme="minorEastAsia"/>
                <w:noProof/>
                <w:kern w:val="2"/>
                <w:sz w:val="24"/>
                <w:szCs w:val="24"/>
                <w:lang w:eastAsia="zh-CN"/>
                <w14:ligatures w14:val="standardContextual"/>
              </w:rPr>
              <w:tab/>
            </w:r>
            <w:r w:rsidR="004F6D71" w:rsidRPr="004F4997">
              <w:rPr>
                <w:rStyle w:val="Hyperlink"/>
                <w:b/>
                <w:bCs/>
                <w:noProof/>
              </w:rPr>
              <w:t>Recognition and Support for Caregivers</w:t>
            </w:r>
            <w:r w:rsidR="004F6D71">
              <w:rPr>
                <w:noProof/>
                <w:webHidden/>
              </w:rPr>
              <w:tab/>
            </w:r>
            <w:r w:rsidR="004F6D71">
              <w:rPr>
                <w:noProof/>
                <w:webHidden/>
              </w:rPr>
              <w:fldChar w:fldCharType="begin"/>
            </w:r>
            <w:r w:rsidR="004F6D71">
              <w:rPr>
                <w:noProof/>
                <w:webHidden/>
              </w:rPr>
              <w:instrText xml:space="preserve"> PAGEREF _Toc169709867 \h </w:instrText>
            </w:r>
            <w:r w:rsidR="004F6D71">
              <w:rPr>
                <w:noProof/>
                <w:webHidden/>
              </w:rPr>
            </w:r>
            <w:r w:rsidR="004F6D71">
              <w:rPr>
                <w:noProof/>
                <w:webHidden/>
              </w:rPr>
              <w:fldChar w:fldCharType="separate"/>
            </w:r>
            <w:r w:rsidR="000415B2">
              <w:rPr>
                <w:noProof/>
                <w:webHidden/>
              </w:rPr>
              <w:t>4</w:t>
            </w:r>
            <w:r w:rsidR="004F6D71">
              <w:rPr>
                <w:noProof/>
                <w:webHidden/>
              </w:rPr>
              <w:fldChar w:fldCharType="end"/>
            </w:r>
          </w:hyperlink>
        </w:p>
        <w:p w14:paraId="2E2393DF" w14:textId="1F14728B" w:rsidR="004F6D71" w:rsidRDefault="00000000">
          <w:pPr>
            <w:pStyle w:val="TOC2"/>
            <w:rPr>
              <w:rFonts w:eastAsiaTheme="minorEastAsia"/>
              <w:noProof/>
              <w:kern w:val="2"/>
              <w:sz w:val="24"/>
              <w:szCs w:val="24"/>
              <w:lang w:eastAsia="zh-CN"/>
              <w14:ligatures w14:val="standardContextual"/>
            </w:rPr>
          </w:pPr>
          <w:hyperlink w:anchor="_Toc169709868" w:history="1">
            <w:r w:rsidR="004F6D71" w:rsidRPr="004F4997">
              <w:rPr>
                <w:rStyle w:val="Hyperlink"/>
                <w:b/>
                <w:bCs/>
                <w:noProof/>
              </w:rPr>
              <w:t>C.</w:t>
            </w:r>
            <w:r w:rsidR="004F6D71">
              <w:rPr>
                <w:rFonts w:eastAsiaTheme="minorEastAsia"/>
                <w:noProof/>
                <w:kern w:val="2"/>
                <w:sz w:val="24"/>
                <w:szCs w:val="24"/>
                <w:lang w:eastAsia="zh-CN"/>
                <w14:ligatures w14:val="standardContextual"/>
              </w:rPr>
              <w:tab/>
            </w:r>
            <w:r w:rsidR="004F6D71" w:rsidRPr="004F4997">
              <w:rPr>
                <w:rStyle w:val="Hyperlink"/>
                <w:b/>
                <w:bCs/>
                <w:noProof/>
              </w:rPr>
              <w:t>Protection against Violence and Harm</w:t>
            </w:r>
            <w:r w:rsidR="004F6D71">
              <w:rPr>
                <w:noProof/>
                <w:webHidden/>
              </w:rPr>
              <w:tab/>
            </w:r>
            <w:r w:rsidR="004F6D71">
              <w:rPr>
                <w:noProof/>
                <w:webHidden/>
              </w:rPr>
              <w:fldChar w:fldCharType="begin"/>
            </w:r>
            <w:r w:rsidR="004F6D71">
              <w:rPr>
                <w:noProof/>
                <w:webHidden/>
              </w:rPr>
              <w:instrText xml:space="preserve"> PAGEREF _Toc169709868 \h </w:instrText>
            </w:r>
            <w:r w:rsidR="004F6D71">
              <w:rPr>
                <w:noProof/>
                <w:webHidden/>
              </w:rPr>
            </w:r>
            <w:r w:rsidR="004F6D71">
              <w:rPr>
                <w:noProof/>
                <w:webHidden/>
              </w:rPr>
              <w:fldChar w:fldCharType="separate"/>
            </w:r>
            <w:r w:rsidR="000415B2">
              <w:rPr>
                <w:noProof/>
                <w:webHidden/>
              </w:rPr>
              <w:t>5</w:t>
            </w:r>
            <w:r w:rsidR="004F6D71">
              <w:rPr>
                <w:noProof/>
                <w:webHidden/>
              </w:rPr>
              <w:fldChar w:fldCharType="end"/>
            </w:r>
          </w:hyperlink>
        </w:p>
        <w:p w14:paraId="25ECAF60" w14:textId="7D45B344" w:rsidR="004F6D71" w:rsidRDefault="00000000">
          <w:pPr>
            <w:pStyle w:val="TOC2"/>
            <w:rPr>
              <w:rFonts w:eastAsiaTheme="minorEastAsia"/>
              <w:noProof/>
              <w:kern w:val="2"/>
              <w:sz w:val="24"/>
              <w:szCs w:val="24"/>
              <w:lang w:eastAsia="zh-CN"/>
              <w14:ligatures w14:val="standardContextual"/>
            </w:rPr>
          </w:pPr>
          <w:hyperlink w:anchor="_Toc169709869" w:history="1">
            <w:r w:rsidR="004F6D71" w:rsidRPr="004F4997">
              <w:rPr>
                <w:rStyle w:val="Hyperlink"/>
                <w:b/>
                <w:bCs/>
                <w:noProof/>
              </w:rPr>
              <w:t>D.</w:t>
            </w:r>
            <w:r w:rsidR="004F6D71">
              <w:rPr>
                <w:rFonts w:eastAsiaTheme="minorEastAsia"/>
                <w:noProof/>
                <w:kern w:val="2"/>
                <w:sz w:val="24"/>
                <w:szCs w:val="24"/>
                <w:lang w:eastAsia="zh-CN"/>
                <w14:ligatures w14:val="standardContextual"/>
              </w:rPr>
              <w:tab/>
            </w:r>
            <w:r w:rsidR="004F6D71" w:rsidRPr="004F4997">
              <w:rPr>
                <w:rStyle w:val="Hyperlink"/>
                <w:b/>
                <w:bCs/>
                <w:noProof/>
              </w:rPr>
              <w:t>Other Support Measures for Women</w:t>
            </w:r>
            <w:r w:rsidR="004F6D71">
              <w:rPr>
                <w:noProof/>
                <w:webHidden/>
              </w:rPr>
              <w:tab/>
            </w:r>
            <w:r w:rsidR="004F6D71">
              <w:rPr>
                <w:noProof/>
                <w:webHidden/>
              </w:rPr>
              <w:fldChar w:fldCharType="begin"/>
            </w:r>
            <w:r w:rsidR="004F6D71">
              <w:rPr>
                <w:noProof/>
                <w:webHidden/>
              </w:rPr>
              <w:instrText xml:space="preserve"> PAGEREF _Toc169709869 \h </w:instrText>
            </w:r>
            <w:r w:rsidR="004F6D71">
              <w:rPr>
                <w:noProof/>
                <w:webHidden/>
              </w:rPr>
            </w:r>
            <w:r w:rsidR="004F6D71">
              <w:rPr>
                <w:noProof/>
                <w:webHidden/>
              </w:rPr>
              <w:fldChar w:fldCharType="separate"/>
            </w:r>
            <w:r w:rsidR="000415B2">
              <w:rPr>
                <w:noProof/>
                <w:webHidden/>
              </w:rPr>
              <w:t>6</w:t>
            </w:r>
            <w:r w:rsidR="004F6D71">
              <w:rPr>
                <w:noProof/>
                <w:webHidden/>
              </w:rPr>
              <w:fldChar w:fldCharType="end"/>
            </w:r>
          </w:hyperlink>
        </w:p>
        <w:p w14:paraId="0410B5CB" w14:textId="3E5536CB" w:rsidR="004F6D71" w:rsidRDefault="00000000">
          <w:pPr>
            <w:pStyle w:val="TOC2"/>
            <w:rPr>
              <w:rFonts w:eastAsiaTheme="minorEastAsia"/>
              <w:noProof/>
              <w:kern w:val="2"/>
              <w:sz w:val="24"/>
              <w:szCs w:val="24"/>
              <w:lang w:eastAsia="zh-CN"/>
              <w14:ligatures w14:val="standardContextual"/>
            </w:rPr>
          </w:pPr>
          <w:hyperlink w:anchor="_Toc169709870" w:history="1">
            <w:r w:rsidR="004F6D71" w:rsidRPr="004F4997">
              <w:rPr>
                <w:rStyle w:val="Hyperlink"/>
                <w:b/>
                <w:bCs/>
                <w:noProof/>
              </w:rPr>
              <w:t>E.</w:t>
            </w:r>
            <w:r w:rsidR="004F6D71">
              <w:rPr>
                <w:rFonts w:eastAsiaTheme="minorEastAsia"/>
                <w:noProof/>
                <w:kern w:val="2"/>
                <w:sz w:val="24"/>
                <w:szCs w:val="24"/>
                <w:lang w:eastAsia="zh-CN"/>
                <w14:ligatures w14:val="standardContextual"/>
              </w:rPr>
              <w:tab/>
            </w:r>
            <w:r w:rsidR="004F6D71" w:rsidRPr="004F4997">
              <w:rPr>
                <w:rStyle w:val="Hyperlink"/>
                <w:b/>
                <w:bCs/>
                <w:noProof/>
              </w:rPr>
              <w:t>Mindset Shifts</w:t>
            </w:r>
            <w:r w:rsidR="004F6D71">
              <w:rPr>
                <w:noProof/>
                <w:webHidden/>
              </w:rPr>
              <w:tab/>
            </w:r>
            <w:r w:rsidR="004F6D71">
              <w:rPr>
                <w:noProof/>
                <w:webHidden/>
              </w:rPr>
              <w:fldChar w:fldCharType="begin"/>
            </w:r>
            <w:r w:rsidR="004F6D71">
              <w:rPr>
                <w:noProof/>
                <w:webHidden/>
              </w:rPr>
              <w:instrText xml:space="preserve"> PAGEREF _Toc169709870 \h </w:instrText>
            </w:r>
            <w:r w:rsidR="004F6D71">
              <w:rPr>
                <w:noProof/>
                <w:webHidden/>
              </w:rPr>
            </w:r>
            <w:r w:rsidR="004F6D71">
              <w:rPr>
                <w:noProof/>
                <w:webHidden/>
              </w:rPr>
              <w:fldChar w:fldCharType="separate"/>
            </w:r>
            <w:r w:rsidR="000415B2">
              <w:rPr>
                <w:noProof/>
                <w:webHidden/>
              </w:rPr>
              <w:t>8</w:t>
            </w:r>
            <w:r w:rsidR="004F6D71">
              <w:rPr>
                <w:noProof/>
                <w:webHidden/>
              </w:rPr>
              <w:fldChar w:fldCharType="end"/>
            </w:r>
          </w:hyperlink>
        </w:p>
        <w:p w14:paraId="101ADDE7" w14:textId="073861B0" w:rsidR="004F6D71" w:rsidRDefault="00000000">
          <w:pPr>
            <w:pStyle w:val="TOC2"/>
            <w:rPr>
              <w:rFonts w:eastAsiaTheme="minorEastAsia"/>
              <w:noProof/>
              <w:kern w:val="2"/>
              <w:sz w:val="24"/>
              <w:szCs w:val="24"/>
              <w:lang w:eastAsia="zh-CN"/>
              <w14:ligatures w14:val="standardContextual"/>
            </w:rPr>
          </w:pPr>
          <w:hyperlink w:anchor="_Toc169709871" w:history="1">
            <w:r w:rsidR="004F6D71" w:rsidRPr="004F4997">
              <w:rPr>
                <w:rStyle w:val="Hyperlink"/>
                <w:b/>
                <w:bCs/>
                <w:noProof/>
              </w:rPr>
              <w:t>F.</w:t>
            </w:r>
            <w:r w:rsidR="004F6D71">
              <w:rPr>
                <w:rFonts w:eastAsiaTheme="minorEastAsia"/>
                <w:noProof/>
                <w:kern w:val="2"/>
                <w:sz w:val="24"/>
                <w:szCs w:val="24"/>
                <w:lang w:eastAsia="zh-CN"/>
                <w14:ligatures w14:val="standardContextual"/>
              </w:rPr>
              <w:tab/>
            </w:r>
            <w:r w:rsidR="004F6D71" w:rsidRPr="004F4997">
              <w:rPr>
                <w:rStyle w:val="Hyperlink"/>
                <w:b/>
                <w:bCs/>
                <w:noProof/>
              </w:rPr>
              <w:t>Impact of COVID-19 on Implementation of BDPA</w:t>
            </w:r>
            <w:r w:rsidR="004F6D71">
              <w:rPr>
                <w:noProof/>
                <w:webHidden/>
              </w:rPr>
              <w:tab/>
            </w:r>
            <w:r w:rsidR="004F6D71">
              <w:rPr>
                <w:noProof/>
                <w:webHidden/>
              </w:rPr>
              <w:fldChar w:fldCharType="begin"/>
            </w:r>
            <w:r w:rsidR="004F6D71">
              <w:rPr>
                <w:noProof/>
                <w:webHidden/>
              </w:rPr>
              <w:instrText xml:space="preserve"> PAGEREF _Toc169709871 \h </w:instrText>
            </w:r>
            <w:r w:rsidR="004F6D71">
              <w:rPr>
                <w:noProof/>
                <w:webHidden/>
              </w:rPr>
            </w:r>
            <w:r w:rsidR="004F6D71">
              <w:rPr>
                <w:noProof/>
                <w:webHidden/>
              </w:rPr>
              <w:fldChar w:fldCharType="separate"/>
            </w:r>
            <w:r w:rsidR="000415B2">
              <w:rPr>
                <w:noProof/>
                <w:webHidden/>
              </w:rPr>
              <w:t>8</w:t>
            </w:r>
            <w:r w:rsidR="004F6D71">
              <w:rPr>
                <w:noProof/>
                <w:webHidden/>
              </w:rPr>
              <w:fldChar w:fldCharType="end"/>
            </w:r>
          </w:hyperlink>
        </w:p>
        <w:p w14:paraId="71BFA063" w14:textId="70F5EDAD" w:rsidR="004F6D71" w:rsidRDefault="00000000">
          <w:pPr>
            <w:pStyle w:val="TOC2"/>
            <w:rPr>
              <w:rFonts w:eastAsiaTheme="minorEastAsia"/>
              <w:noProof/>
              <w:kern w:val="2"/>
              <w:sz w:val="24"/>
              <w:szCs w:val="24"/>
              <w:lang w:eastAsia="zh-CN"/>
              <w14:ligatures w14:val="standardContextual"/>
            </w:rPr>
          </w:pPr>
          <w:hyperlink w:anchor="_Toc169709872" w:history="1">
            <w:r w:rsidR="004F6D71" w:rsidRPr="004F4997">
              <w:rPr>
                <w:rStyle w:val="Hyperlink"/>
                <w:b/>
                <w:bCs/>
                <w:noProof/>
              </w:rPr>
              <w:t>G.</w:t>
            </w:r>
            <w:r w:rsidR="004F6D71">
              <w:rPr>
                <w:rFonts w:eastAsiaTheme="minorEastAsia"/>
                <w:noProof/>
                <w:kern w:val="2"/>
                <w:sz w:val="24"/>
                <w:szCs w:val="24"/>
                <w:lang w:eastAsia="zh-CN"/>
                <w14:ligatures w14:val="standardContextual"/>
              </w:rPr>
              <w:tab/>
            </w:r>
            <w:r w:rsidR="004F6D71" w:rsidRPr="004F4997">
              <w:rPr>
                <w:rStyle w:val="Hyperlink"/>
                <w:b/>
                <w:bCs/>
                <w:noProof/>
              </w:rPr>
              <w:t>Singapore’s Ongoing Priorities</w:t>
            </w:r>
            <w:r w:rsidR="004F6D71">
              <w:rPr>
                <w:noProof/>
                <w:webHidden/>
              </w:rPr>
              <w:tab/>
            </w:r>
            <w:r w:rsidR="004F6D71">
              <w:rPr>
                <w:noProof/>
                <w:webHidden/>
              </w:rPr>
              <w:fldChar w:fldCharType="begin"/>
            </w:r>
            <w:r w:rsidR="004F6D71">
              <w:rPr>
                <w:noProof/>
                <w:webHidden/>
              </w:rPr>
              <w:instrText xml:space="preserve"> PAGEREF _Toc169709872 \h </w:instrText>
            </w:r>
            <w:r w:rsidR="004F6D71">
              <w:rPr>
                <w:noProof/>
                <w:webHidden/>
              </w:rPr>
            </w:r>
            <w:r w:rsidR="004F6D71">
              <w:rPr>
                <w:noProof/>
                <w:webHidden/>
              </w:rPr>
              <w:fldChar w:fldCharType="separate"/>
            </w:r>
            <w:r w:rsidR="000415B2">
              <w:rPr>
                <w:noProof/>
                <w:webHidden/>
              </w:rPr>
              <w:t>8</w:t>
            </w:r>
            <w:r w:rsidR="004F6D71">
              <w:rPr>
                <w:noProof/>
                <w:webHidden/>
              </w:rPr>
              <w:fldChar w:fldCharType="end"/>
            </w:r>
          </w:hyperlink>
        </w:p>
        <w:p w14:paraId="5F78DC04" w14:textId="4F662107" w:rsidR="004F6D71" w:rsidRDefault="00000000" w:rsidP="00A62DB5">
          <w:pPr>
            <w:pStyle w:val="TOC1"/>
            <w:rPr>
              <w:rFonts w:eastAsiaTheme="minorEastAsia"/>
              <w:noProof/>
              <w:kern w:val="2"/>
              <w:sz w:val="24"/>
              <w:szCs w:val="24"/>
              <w:lang w:eastAsia="zh-CN"/>
              <w14:ligatures w14:val="standardContextual"/>
            </w:rPr>
          </w:pPr>
          <w:hyperlink w:anchor="_Toc169709873" w:history="1">
            <w:r w:rsidR="004F6D71" w:rsidRPr="004F4997">
              <w:rPr>
                <w:rStyle w:val="Hyperlink"/>
                <w:b/>
                <w:bCs/>
                <w:noProof/>
              </w:rPr>
              <w:t>Section Three: Progress in the implementation of the critical areas of concern of the Platform for Action since 2020</w:t>
            </w:r>
            <w:r w:rsidR="004F6D71">
              <w:rPr>
                <w:noProof/>
                <w:webHidden/>
              </w:rPr>
              <w:tab/>
            </w:r>
            <w:r w:rsidR="004F6D71">
              <w:rPr>
                <w:noProof/>
                <w:webHidden/>
              </w:rPr>
              <w:fldChar w:fldCharType="begin"/>
            </w:r>
            <w:r w:rsidR="004F6D71">
              <w:rPr>
                <w:noProof/>
                <w:webHidden/>
              </w:rPr>
              <w:instrText xml:space="preserve"> PAGEREF _Toc169709873 \h </w:instrText>
            </w:r>
            <w:r w:rsidR="004F6D71">
              <w:rPr>
                <w:noProof/>
                <w:webHidden/>
              </w:rPr>
            </w:r>
            <w:r w:rsidR="004F6D71">
              <w:rPr>
                <w:noProof/>
                <w:webHidden/>
              </w:rPr>
              <w:fldChar w:fldCharType="separate"/>
            </w:r>
            <w:r w:rsidR="000415B2">
              <w:rPr>
                <w:noProof/>
                <w:webHidden/>
              </w:rPr>
              <w:t>10</w:t>
            </w:r>
            <w:r w:rsidR="004F6D71">
              <w:rPr>
                <w:noProof/>
                <w:webHidden/>
              </w:rPr>
              <w:fldChar w:fldCharType="end"/>
            </w:r>
          </w:hyperlink>
        </w:p>
        <w:p w14:paraId="3A9D6E94" w14:textId="5AF022BF" w:rsidR="004F6D71" w:rsidRDefault="00000000">
          <w:pPr>
            <w:pStyle w:val="TOC2"/>
            <w:rPr>
              <w:rFonts w:eastAsiaTheme="minorEastAsia"/>
              <w:noProof/>
              <w:kern w:val="2"/>
              <w:sz w:val="24"/>
              <w:szCs w:val="24"/>
              <w:lang w:eastAsia="zh-CN"/>
              <w14:ligatures w14:val="standardContextual"/>
            </w:rPr>
          </w:pPr>
          <w:hyperlink w:anchor="_Toc169709874" w:history="1">
            <w:r w:rsidR="004F6D71" w:rsidRPr="004F4997">
              <w:rPr>
                <w:rStyle w:val="Hyperlink"/>
                <w:b/>
                <w:bCs/>
                <w:noProof/>
              </w:rPr>
              <w:t>Inclusive development, shared prosperity, and decent work</w:t>
            </w:r>
            <w:r w:rsidR="004F6D71">
              <w:rPr>
                <w:noProof/>
                <w:webHidden/>
              </w:rPr>
              <w:tab/>
            </w:r>
            <w:r w:rsidR="004F6D71">
              <w:rPr>
                <w:noProof/>
                <w:webHidden/>
              </w:rPr>
              <w:fldChar w:fldCharType="begin"/>
            </w:r>
            <w:r w:rsidR="004F6D71">
              <w:rPr>
                <w:noProof/>
                <w:webHidden/>
              </w:rPr>
              <w:instrText xml:space="preserve"> PAGEREF _Toc169709874 \h </w:instrText>
            </w:r>
            <w:r w:rsidR="004F6D71">
              <w:rPr>
                <w:noProof/>
                <w:webHidden/>
              </w:rPr>
            </w:r>
            <w:r w:rsidR="004F6D71">
              <w:rPr>
                <w:noProof/>
                <w:webHidden/>
              </w:rPr>
              <w:fldChar w:fldCharType="separate"/>
            </w:r>
            <w:r w:rsidR="000415B2">
              <w:rPr>
                <w:noProof/>
                <w:webHidden/>
              </w:rPr>
              <w:t>10</w:t>
            </w:r>
            <w:r w:rsidR="004F6D71">
              <w:rPr>
                <w:noProof/>
                <w:webHidden/>
              </w:rPr>
              <w:fldChar w:fldCharType="end"/>
            </w:r>
          </w:hyperlink>
        </w:p>
        <w:p w14:paraId="44A7F789" w14:textId="32B7DC17" w:rsidR="004F6D71" w:rsidRDefault="00000000">
          <w:pPr>
            <w:pStyle w:val="TOC3"/>
            <w:rPr>
              <w:rFonts w:eastAsiaTheme="minorEastAsia"/>
              <w:noProof/>
              <w:kern w:val="2"/>
              <w:sz w:val="24"/>
              <w:szCs w:val="24"/>
              <w:lang w:eastAsia="zh-CN"/>
              <w14:ligatures w14:val="standardContextual"/>
            </w:rPr>
          </w:pPr>
          <w:hyperlink w:anchor="_Toc169709875" w:history="1">
            <w:r w:rsidR="004F6D71" w:rsidRPr="004F4997">
              <w:rPr>
                <w:rStyle w:val="Hyperlink"/>
                <w:b/>
                <w:bCs/>
                <w:noProof/>
              </w:rPr>
              <w:t>A.</w:t>
            </w:r>
            <w:r w:rsidR="004F6D71">
              <w:rPr>
                <w:rFonts w:eastAsiaTheme="minorEastAsia"/>
                <w:noProof/>
                <w:kern w:val="2"/>
                <w:sz w:val="24"/>
                <w:szCs w:val="24"/>
                <w:lang w:eastAsia="zh-CN"/>
                <w14:ligatures w14:val="standardContextual"/>
              </w:rPr>
              <w:tab/>
            </w:r>
            <w:r w:rsidR="004F6D71" w:rsidRPr="004F4997">
              <w:rPr>
                <w:rStyle w:val="Hyperlink"/>
                <w:b/>
                <w:bCs/>
                <w:noProof/>
              </w:rPr>
              <w:t xml:space="preserve"> Promoting Gender Equality in the Workplace</w:t>
            </w:r>
            <w:r w:rsidR="004F6D71">
              <w:rPr>
                <w:noProof/>
                <w:webHidden/>
              </w:rPr>
              <w:tab/>
            </w:r>
            <w:r w:rsidR="004F6D71">
              <w:rPr>
                <w:noProof/>
                <w:webHidden/>
              </w:rPr>
              <w:fldChar w:fldCharType="begin"/>
            </w:r>
            <w:r w:rsidR="004F6D71">
              <w:rPr>
                <w:noProof/>
                <w:webHidden/>
              </w:rPr>
              <w:instrText xml:space="preserve"> PAGEREF _Toc169709875 \h </w:instrText>
            </w:r>
            <w:r w:rsidR="004F6D71">
              <w:rPr>
                <w:noProof/>
                <w:webHidden/>
              </w:rPr>
            </w:r>
            <w:r w:rsidR="004F6D71">
              <w:rPr>
                <w:noProof/>
                <w:webHidden/>
              </w:rPr>
              <w:fldChar w:fldCharType="separate"/>
            </w:r>
            <w:r w:rsidR="000415B2">
              <w:rPr>
                <w:noProof/>
                <w:webHidden/>
              </w:rPr>
              <w:t>10</w:t>
            </w:r>
            <w:r w:rsidR="004F6D71">
              <w:rPr>
                <w:noProof/>
                <w:webHidden/>
              </w:rPr>
              <w:fldChar w:fldCharType="end"/>
            </w:r>
          </w:hyperlink>
        </w:p>
        <w:p w14:paraId="7AD01F74" w14:textId="0F744350" w:rsidR="004F6D71" w:rsidRDefault="00000000">
          <w:pPr>
            <w:pStyle w:val="TOC3"/>
            <w:rPr>
              <w:rFonts w:eastAsiaTheme="minorEastAsia"/>
              <w:noProof/>
              <w:kern w:val="2"/>
              <w:sz w:val="24"/>
              <w:szCs w:val="24"/>
              <w:lang w:eastAsia="zh-CN"/>
              <w14:ligatures w14:val="standardContextual"/>
            </w:rPr>
          </w:pPr>
          <w:hyperlink w:anchor="_Toc169709876" w:history="1">
            <w:r w:rsidR="004F6D71" w:rsidRPr="004F4997">
              <w:rPr>
                <w:rStyle w:val="Hyperlink"/>
                <w:b/>
                <w:noProof/>
              </w:rPr>
              <w:t>B.</w:t>
            </w:r>
            <w:r w:rsidR="004F6D71">
              <w:rPr>
                <w:rFonts w:eastAsiaTheme="minorEastAsia"/>
                <w:noProof/>
                <w:kern w:val="2"/>
                <w:sz w:val="24"/>
                <w:szCs w:val="24"/>
                <w:lang w:eastAsia="zh-CN"/>
                <w14:ligatures w14:val="standardContextual"/>
              </w:rPr>
              <w:tab/>
            </w:r>
            <w:r w:rsidR="004F6D71" w:rsidRPr="004F4997">
              <w:rPr>
                <w:rStyle w:val="Hyperlink"/>
                <w:b/>
                <w:bCs/>
                <w:noProof/>
              </w:rPr>
              <w:t>Strengthening Support for Caregiving and Domestic Work</w:t>
            </w:r>
            <w:r w:rsidR="004F6D71">
              <w:rPr>
                <w:noProof/>
                <w:webHidden/>
              </w:rPr>
              <w:tab/>
            </w:r>
            <w:r w:rsidR="004F6D71">
              <w:rPr>
                <w:noProof/>
                <w:webHidden/>
              </w:rPr>
              <w:fldChar w:fldCharType="begin"/>
            </w:r>
            <w:r w:rsidR="004F6D71">
              <w:rPr>
                <w:noProof/>
                <w:webHidden/>
              </w:rPr>
              <w:instrText xml:space="preserve"> PAGEREF _Toc169709876 \h </w:instrText>
            </w:r>
            <w:r w:rsidR="004F6D71">
              <w:rPr>
                <w:noProof/>
                <w:webHidden/>
              </w:rPr>
            </w:r>
            <w:r w:rsidR="004F6D71">
              <w:rPr>
                <w:noProof/>
                <w:webHidden/>
              </w:rPr>
              <w:fldChar w:fldCharType="separate"/>
            </w:r>
            <w:r w:rsidR="000415B2">
              <w:rPr>
                <w:noProof/>
                <w:webHidden/>
              </w:rPr>
              <w:t>14</w:t>
            </w:r>
            <w:r w:rsidR="004F6D71">
              <w:rPr>
                <w:noProof/>
                <w:webHidden/>
              </w:rPr>
              <w:fldChar w:fldCharType="end"/>
            </w:r>
          </w:hyperlink>
        </w:p>
        <w:p w14:paraId="1D53996F" w14:textId="13495BAD" w:rsidR="004F6D71" w:rsidRDefault="00000000">
          <w:pPr>
            <w:pStyle w:val="TOC3"/>
            <w:rPr>
              <w:rFonts w:eastAsiaTheme="minorEastAsia"/>
              <w:noProof/>
              <w:kern w:val="2"/>
              <w:sz w:val="24"/>
              <w:szCs w:val="24"/>
              <w:lang w:eastAsia="zh-CN"/>
              <w14:ligatures w14:val="standardContextual"/>
            </w:rPr>
          </w:pPr>
          <w:hyperlink w:anchor="_Toc169709877" w:history="1">
            <w:r w:rsidR="004F6D71" w:rsidRPr="004F4997">
              <w:rPr>
                <w:rStyle w:val="Hyperlink"/>
                <w:b/>
                <w:bCs/>
                <w:noProof/>
              </w:rPr>
              <w:t>C.</w:t>
            </w:r>
            <w:r w:rsidR="004F6D71">
              <w:rPr>
                <w:rFonts w:eastAsiaTheme="minorEastAsia"/>
                <w:noProof/>
                <w:kern w:val="2"/>
                <w:sz w:val="24"/>
                <w:szCs w:val="24"/>
                <w:lang w:eastAsia="zh-CN"/>
                <w14:ligatures w14:val="standardContextual"/>
              </w:rPr>
              <w:tab/>
            </w:r>
            <w:r w:rsidR="004F6D71" w:rsidRPr="004F4997">
              <w:rPr>
                <w:rStyle w:val="Hyperlink"/>
                <w:b/>
                <w:bCs/>
                <w:noProof/>
              </w:rPr>
              <w:t xml:space="preserve">Macroeconomic and </w:t>
            </w:r>
            <w:r w:rsidR="004F6D71" w:rsidRPr="004F4997">
              <w:rPr>
                <w:rStyle w:val="Hyperlink"/>
                <w:b/>
                <w:noProof/>
              </w:rPr>
              <w:t>Fiscal Policy Environment</w:t>
            </w:r>
            <w:r w:rsidR="004F6D71">
              <w:rPr>
                <w:noProof/>
                <w:webHidden/>
              </w:rPr>
              <w:tab/>
            </w:r>
            <w:r w:rsidR="004F6D71">
              <w:rPr>
                <w:noProof/>
                <w:webHidden/>
              </w:rPr>
              <w:fldChar w:fldCharType="begin"/>
            </w:r>
            <w:r w:rsidR="004F6D71">
              <w:rPr>
                <w:noProof/>
                <w:webHidden/>
              </w:rPr>
              <w:instrText xml:space="preserve"> PAGEREF _Toc169709877 \h </w:instrText>
            </w:r>
            <w:r w:rsidR="004F6D71">
              <w:rPr>
                <w:noProof/>
                <w:webHidden/>
              </w:rPr>
            </w:r>
            <w:r w:rsidR="004F6D71">
              <w:rPr>
                <w:noProof/>
                <w:webHidden/>
              </w:rPr>
              <w:fldChar w:fldCharType="separate"/>
            </w:r>
            <w:r w:rsidR="000415B2">
              <w:rPr>
                <w:noProof/>
                <w:webHidden/>
              </w:rPr>
              <w:t>17</w:t>
            </w:r>
            <w:r w:rsidR="004F6D71">
              <w:rPr>
                <w:noProof/>
                <w:webHidden/>
              </w:rPr>
              <w:fldChar w:fldCharType="end"/>
            </w:r>
          </w:hyperlink>
        </w:p>
        <w:p w14:paraId="2B31E734" w14:textId="6815B8E3" w:rsidR="004F6D71" w:rsidRDefault="00000000">
          <w:pPr>
            <w:pStyle w:val="TOC2"/>
            <w:rPr>
              <w:rFonts w:eastAsiaTheme="minorEastAsia"/>
              <w:noProof/>
              <w:kern w:val="2"/>
              <w:sz w:val="24"/>
              <w:szCs w:val="24"/>
              <w:lang w:eastAsia="zh-CN"/>
              <w14:ligatures w14:val="standardContextual"/>
            </w:rPr>
          </w:pPr>
          <w:hyperlink w:anchor="_Toc169709878" w:history="1">
            <w:r w:rsidR="004F6D71" w:rsidRPr="004F4997">
              <w:rPr>
                <w:rStyle w:val="Hyperlink"/>
                <w:b/>
                <w:iCs/>
                <w:noProof/>
              </w:rPr>
              <w:t>Poverty</w:t>
            </w:r>
            <w:r w:rsidR="004F6D71" w:rsidRPr="004F4997">
              <w:rPr>
                <w:rStyle w:val="Hyperlink"/>
                <w:b/>
                <w:noProof/>
              </w:rPr>
              <w:t xml:space="preserve"> eradication, social protection, and social services</w:t>
            </w:r>
            <w:r w:rsidR="004F6D71">
              <w:rPr>
                <w:noProof/>
                <w:webHidden/>
              </w:rPr>
              <w:tab/>
            </w:r>
            <w:r w:rsidR="004F6D71">
              <w:rPr>
                <w:noProof/>
                <w:webHidden/>
              </w:rPr>
              <w:fldChar w:fldCharType="begin"/>
            </w:r>
            <w:r w:rsidR="004F6D71">
              <w:rPr>
                <w:noProof/>
                <w:webHidden/>
              </w:rPr>
              <w:instrText xml:space="preserve"> PAGEREF _Toc169709878 \h </w:instrText>
            </w:r>
            <w:r w:rsidR="004F6D71">
              <w:rPr>
                <w:noProof/>
                <w:webHidden/>
              </w:rPr>
            </w:r>
            <w:r w:rsidR="004F6D71">
              <w:rPr>
                <w:noProof/>
                <w:webHidden/>
              </w:rPr>
              <w:fldChar w:fldCharType="separate"/>
            </w:r>
            <w:r w:rsidR="000415B2">
              <w:rPr>
                <w:noProof/>
                <w:webHidden/>
              </w:rPr>
              <w:t>17</w:t>
            </w:r>
            <w:r w:rsidR="004F6D71">
              <w:rPr>
                <w:noProof/>
                <w:webHidden/>
              </w:rPr>
              <w:fldChar w:fldCharType="end"/>
            </w:r>
          </w:hyperlink>
        </w:p>
        <w:p w14:paraId="347F925A" w14:textId="7E7C3A67" w:rsidR="004F6D71" w:rsidRDefault="00000000">
          <w:pPr>
            <w:pStyle w:val="TOC3"/>
            <w:rPr>
              <w:rFonts w:eastAsiaTheme="minorEastAsia"/>
              <w:noProof/>
              <w:kern w:val="2"/>
              <w:sz w:val="24"/>
              <w:szCs w:val="24"/>
              <w:lang w:eastAsia="zh-CN"/>
              <w14:ligatures w14:val="standardContextual"/>
            </w:rPr>
          </w:pPr>
          <w:hyperlink w:anchor="_Toc169709879" w:history="1">
            <w:r w:rsidR="004F6D71" w:rsidRPr="004F4997">
              <w:rPr>
                <w:rStyle w:val="Hyperlink"/>
                <w:b/>
                <w:bCs/>
                <w:noProof/>
              </w:rPr>
              <w:t>A.</w:t>
            </w:r>
            <w:r w:rsidR="004F6D71">
              <w:rPr>
                <w:rFonts w:eastAsiaTheme="minorEastAsia"/>
                <w:noProof/>
                <w:kern w:val="2"/>
                <w:sz w:val="24"/>
                <w:szCs w:val="24"/>
                <w:lang w:eastAsia="zh-CN"/>
                <w14:ligatures w14:val="standardContextual"/>
              </w:rPr>
              <w:tab/>
            </w:r>
            <w:r w:rsidR="004F6D71" w:rsidRPr="004F4997">
              <w:rPr>
                <w:rStyle w:val="Hyperlink"/>
                <w:b/>
                <w:noProof/>
              </w:rPr>
              <w:t xml:space="preserve"> Promoting Access to Work for Women</w:t>
            </w:r>
            <w:r w:rsidR="004F6D71">
              <w:rPr>
                <w:noProof/>
                <w:webHidden/>
              </w:rPr>
              <w:tab/>
            </w:r>
            <w:r w:rsidR="004F6D71">
              <w:rPr>
                <w:noProof/>
                <w:webHidden/>
              </w:rPr>
              <w:fldChar w:fldCharType="begin"/>
            </w:r>
            <w:r w:rsidR="004F6D71">
              <w:rPr>
                <w:noProof/>
                <w:webHidden/>
              </w:rPr>
              <w:instrText xml:space="preserve"> PAGEREF _Toc169709879 \h </w:instrText>
            </w:r>
            <w:r w:rsidR="004F6D71">
              <w:rPr>
                <w:noProof/>
                <w:webHidden/>
              </w:rPr>
            </w:r>
            <w:r w:rsidR="004F6D71">
              <w:rPr>
                <w:noProof/>
                <w:webHidden/>
              </w:rPr>
              <w:fldChar w:fldCharType="separate"/>
            </w:r>
            <w:r w:rsidR="000415B2">
              <w:rPr>
                <w:noProof/>
                <w:webHidden/>
              </w:rPr>
              <w:t>17</w:t>
            </w:r>
            <w:r w:rsidR="004F6D71">
              <w:rPr>
                <w:noProof/>
                <w:webHidden/>
              </w:rPr>
              <w:fldChar w:fldCharType="end"/>
            </w:r>
          </w:hyperlink>
        </w:p>
        <w:p w14:paraId="1D1E6615" w14:textId="777717B7" w:rsidR="004F6D71" w:rsidRDefault="00000000">
          <w:pPr>
            <w:pStyle w:val="TOC3"/>
            <w:rPr>
              <w:rFonts w:eastAsiaTheme="minorEastAsia"/>
              <w:noProof/>
              <w:kern w:val="2"/>
              <w:sz w:val="24"/>
              <w:szCs w:val="24"/>
              <w:lang w:eastAsia="zh-CN"/>
              <w14:ligatures w14:val="standardContextual"/>
            </w:rPr>
          </w:pPr>
          <w:hyperlink w:anchor="_Toc169709880" w:history="1">
            <w:r w:rsidR="004F6D71" w:rsidRPr="004F4997">
              <w:rPr>
                <w:rStyle w:val="Hyperlink"/>
                <w:b/>
                <w:bCs/>
                <w:noProof/>
              </w:rPr>
              <w:t>B.</w:t>
            </w:r>
            <w:r w:rsidR="004F6D71">
              <w:rPr>
                <w:rFonts w:eastAsiaTheme="minorEastAsia"/>
                <w:noProof/>
                <w:kern w:val="2"/>
                <w:sz w:val="24"/>
                <w:szCs w:val="24"/>
                <w:lang w:eastAsia="zh-CN"/>
                <w14:ligatures w14:val="standardContextual"/>
              </w:rPr>
              <w:tab/>
            </w:r>
            <w:r w:rsidR="004F6D71" w:rsidRPr="004F4997">
              <w:rPr>
                <w:rStyle w:val="Hyperlink"/>
                <w:b/>
                <w:bCs/>
                <w:noProof/>
              </w:rPr>
              <w:t>Access to Social Support</w:t>
            </w:r>
            <w:r w:rsidR="004F6D71">
              <w:rPr>
                <w:noProof/>
                <w:webHidden/>
              </w:rPr>
              <w:tab/>
            </w:r>
            <w:r w:rsidR="004F6D71">
              <w:rPr>
                <w:noProof/>
                <w:webHidden/>
              </w:rPr>
              <w:fldChar w:fldCharType="begin"/>
            </w:r>
            <w:r w:rsidR="004F6D71">
              <w:rPr>
                <w:noProof/>
                <w:webHidden/>
              </w:rPr>
              <w:instrText xml:space="preserve"> PAGEREF _Toc169709880 \h </w:instrText>
            </w:r>
            <w:r w:rsidR="004F6D71">
              <w:rPr>
                <w:noProof/>
                <w:webHidden/>
              </w:rPr>
            </w:r>
            <w:r w:rsidR="004F6D71">
              <w:rPr>
                <w:noProof/>
                <w:webHidden/>
              </w:rPr>
              <w:fldChar w:fldCharType="separate"/>
            </w:r>
            <w:r w:rsidR="000415B2">
              <w:rPr>
                <w:noProof/>
                <w:webHidden/>
              </w:rPr>
              <w:t>19</w:t>
            </w:r>
            <w:r w:rsidR="004F6D71">
              <w:rPr>
                <w:noProof/>
                <w:webHidden/>
              </w:rPr>
              <w:fldChar w:fldCharType="end"/>
            </w:r>
          </w:hyperlink>
        </w:p>
        <w:p w14:paraId="323EEFDF" w14:textId="5923E449" w:rsidR="004F6D71" w:rsidRDefault="00000000">
          <w:pPr>
            <w:pStyle w:val="TOC3"/>
            <w:rPr>
              <w:rFonts w:eastAsiaTheme="minorEastAsia"/>
              <w:noProof/>
              <w:kern w:val="2"/>
              <w:sz w:val="24"/>
              <w:szCs w:val="24"/>
              <w:lang w:eastAsia="zh-CN"/>
              <w14:ligatures w14:val="standardContextual"/>
            </w:rPr>
          </w:pPr>
          <w:hyperlink w:anchor="_Toc169709881" w:history="1">
            <w:r w:rsidR="004F6D71" w:rsidRPr="004F4997">
              <w:rPr>
                <w:rStyle w:val="Hyperlink"/>
                <w:b/>
                <w:noProof/>
              </w:rPr>
              <w:t>C.</w:t>
            </w:r>
            <w:r w:rsidR="004F6D71">
              <w:rPr>
                <w:rFonts w:eastAsiaTheme="minorEastAsia"/>
                <w:noProof/>
                <w:kern w:val="2"/>
                <w:sz w:val="24"/>
                <w:szCs w:val="24"/>
                <w:lang w:eastAsia="zh-CN"/>
                <w14:ligatures w14:val="standardContextual"/>
              </w:rPr>
              <w:tab/>
            </w:r>
            <w:r w:rsidR="004F6D71" w:rsidRPr="004F4997">
              <w:rPr>
                <w:rStyle w:val="Hyperlink"/>
                <w:b/>
                <w:noProof/>
              </w:rPr>
              <w:t>Access to Low-Cost Legal Services</w:t>
            </w:r>
            <w:r w:rsidR="004F6D71">
              <w:rPr>
                <w:noProof/>
                <w:webHidden/>
              </w:rPr>
              <w:tab/>
            </w:r>
            <w:r w:rsidR="004F6D71">
              <w:rPr>
                <w:noProof/>
                <w:webHidden/>
              </w:rPr>
              <w:fldChar w:fldCharType="begin"/>
            </w:r>
            <w:r w:rsidR="004F6D71">
              <w:rPr>
                <w:noProof/>
                <w:webHidden/>
              </w:rPr>
              <w:instrText xml:space="preserve"> PAGEREF _Toc169709881 \h </w:instrText>
            </w:r>
            <w:r w:rsidR="004F6D71">
              <w:rPr>
                <w:noProof/>
                <w:webHidden/>
              </w:rPr>
            </w:r>
            <w:r w:rsidR="004F6D71">
              <w:rPr>
                <w:noProof/>
                <w:webHidden/>
              </w:rPr>
              <w:fldChar w:fldCharType="separate"/>
            </w:r>
            <w:r w:rsidR="000415B2">
              <w:rPr>
                <w:noProof/>
                <w:webHidden/>
              </w:rPr>
              <w:t>23</w:t>
            </w:r>
            <w:r w:rsidR="004F6D71">
              <w:rPr>
                <w:noProof/>
                <w:webHidden/>
              </w:rPr>
              <w:fldChar w:fldCharType="end"/>
            </w:r>
          </w:hyperlink>
        </w:p>
        <w:p w14:paraId="3385195A" w14:textId="17AC6E03" w:rsidR="004F6D71" w:rsidRDefault="00000000">
          <w:pPr>
            <w:pStyle w:val="TOC3"/>
            <w:rPr>
              <w:rFonts w:eastAsiaTheme="minorEastAsia"/>
              <w:noProof/>
              <w:kern w:val="2"/>
              <w:sz w:val="24"/>
              <w:szCs w:val="24"/>
              <w:lang w:eastAsia="zh-CN"/>
              <w14:ligatures w14:val="standardContextual"/>
            </w:rPr>
          </w:pPr>
          <w:hyperlink w:anchor="_Toc169709882" w:history="1">
            <w:r w:rsidR="004F6D71" w:rsidRPr="004F4997">
              <w:rPr>
                <w:rStyle w:val="Hyperlink"/>
                <w:b/>
                <w:bCs/>
                <w:noProof/>
              </w:rPr>
              <w:t>D.</w:t>
            </w:r>
            <w:r w:rsidR="004F6D71">
              <w:rPr>
                <w:rFonts w:eastAsiaTheme="minorEastAsia"/>
                <w:noProof/>
                <w:kern w:val="2"/>
                <w:sz w:val="24"/>
                <w:szCs w:val="24"/>
                <w:lang w:eastAsia="zh-CN"/>
                <w14:ligatures w14:val="standardContextual"/>
              </w:rPr>
              <w:tab/>
            </w:r>
            <w:r w:rsidR="004F6D71" w:rsidRPr="004F4997">
              <w:rPr>
                <w:rStyle w:val="Hyperlink"/>
                <w:b/>
                <w:bCs/>
                <w:noProof/>
              </w:rPr>
              <w:t>Health Outcomes</w:t>
            </w:r>
            <w:r w:rsidR="004F6D71">
              <w:rPr>
                <w:noProof/>
                <w:webHidden/>
              </w:rPr>
              <w:tab/>
            </w:r>
            <w:r w:rsidR="004F6D71">
              <w:rPr>
                <w:noProof/>
                <w:webHidden/>
              </w:rPr>
              <w:fldChar w:fldCharType="begin"/>
            </w:r>
            <w:r w:rsidR="004F6D71">
              <w:rPr>
                <w:noProof/>
                <w:webHidden/>
              </w:rPr>
              <w:instrText xml:space="preserve"> PAGEREF _Toc169709882 \h </w:instrText>
            </w:r>
            <w:r w:rsidR="004F6D71">
              <w:rPr>
                <w:noProof/>
                <w:webHidden/>
              </w:rPr>
            </w:r>
            <w:r w:rsidR="004F6D71">
              <w:rPr>
                <w:noProof/>
                <w:webHidden/>
              </w:rPr>
              <w:fldChar w:fldCharType="separate"/>
            </w:r>
            <w:r w:rsidR="000415B2">
              <w:rPr>
                <w:noProof/>
                <w:webHidden/>
              </w:rPr>
              <w:t>24</w:t>
            </w:r>
            <w:r w:rsidR="004F6D71">
              <w:rPr>
                <w:noProof/>
                <w:webHidden/>
              </w:rPr>
              <w:fldChar w:fldCharType="end"/>
            </w:r>
          </w:hyperlink>
        </w:p>
        <w:p w14:paraId="142A5549" w14:textId="5B58F37D" w:rsidR="004F6D71" w:rsidRDefault="00000000">
          <w:pPr>
            <w:pStyle w:val="TOC3"/>
            <w:rPr>
              <w:rFonts w:eastAsiaTheme="minorEastAsia"/>
              <w:noProof/>
              <w:kern w:val="2"/>
              <w:sz w:val="24"/>
              <w:szCs w:val="24"/>
              <w:lang w:eastAsia="zh-CN"/>
              <w14:ligatures w14:val="standardContextual"/>
            </w:rPr>
          </w:pPr>
          <w:hyperlink w:anchor="_Toc169709883" w:history="1">
            <w:r w:rsidR="004F6D71" w:rsidRPr="004F4997">
              <w:rPr>
                <w:rStyle w:val="Hyperlink"/>
                <w:b/>
                <w:bCs/>
                <w:noProof/>
              </w:rPr>
              <w:t>E.</w:t>
            </w:r>
            <w:r w:rsidR="004F6D71">
              <w:rPr>
                <w:rFonts w:eastAsiaTheme="minorEastAsia"/>
                <w:noProof/>
                <w:kern w:val="2"/>
                <w:sz w:val="24"/>
                <w:szCs w:val="24"/>
                <w:lang w:eastAsia="zh-CN"/>
                <w14:ligatures w14:val="standardContextual"/>
              </w:rPr>
              <w:tab/>
            </w:r>
            <w:r w:rsidR="004F6D71" w:rsidRPr="004F4997">
              <w:rPr>
                <w:rStyle w:val="Hyperlink"/>
                <w:b/>
                <w:bCs/>
                <w:noProof/>
              </w:rPr>
              <w:t>Education Outcomes and Skills</w:t>
            </w:r>
            <w:r w:rsidR="004F6D71">
              <w:rPr>
                <w:noProof/>
                <w:webHidden/>
              </w:rPr>
              <w:tab/>
            </w:r>
            <w:r w:rsidR="004F6D71">
              <w:rPr>
                <w:noProof/>
                <w:webHidden/>
              </w:rPr>
              <w:fldChar w:fldCharType="begin"/>
            </w:r>
            <w:r w:rsidR="004F6D71">
              <w:rPr>
                <w:noProof/>
                <w:webHidden/>
              </w:rPr>
              <w:instrText xml:space="preserve"> PAGEREF _Toc169709883 \h </w:instrText>
            </w:r>
            <w:r w:rsidR="004F6D71">
              <w:rPr>
                <w:noProof/>
                <w:webHidden/>
              </w:rPr>
            </w:r>
            <w:r w:rsidR="004F6D71">
              <w:rPr>
                <w:noProof/>
                <w:webHidden/>
              </w:rPr>
              <w:fldChar w:fldCharType="separate"/>
            </w:r>
            <w:r w:rsidR="000415B2">
              <w:rPr>
                <w:noProof/>
                <w:webHidden/>
              </w:rPr>
              <w:t>28</w:t>
            </w:r>
            <w:r w:rsidR="004F6D71">
              <w:rPr>
                <w:noProof/>
                <w:webHidden/>
              </w:rPr>
              <w:fldChar w:fldCharType="end"/>
            </w:r>
          </w:hyperlink>
        </w:p>
        <w:p w14:paraId="37167EDA" w14:textId="59105C38" w:rsidR="004F6D71" w:rsidRDefault="00000000">
          <w:pPr>
            <w:pStyle w:val="TOC2"/>
            <w:rPr>
              <w:rFonts w:eastAsiaTheme="minorEastAsia"/>
              <w:noProof/>
              <w:kern w:val="2"/>
              <w:sz w:val="24"/>
              <w:szCs w:val="24"/>
              <w:lang w:eastAsia="zh-CN"/>
              <w14:ligatures w14:val="standardContextual"/>
            </w:rPr>
          </w:pPr>
          <w:hyperlink w:anchor="_Toc169709884" w:history="1">
            <w:r w:rsidR="004F6D71" w:rsidRPr="004F4997">
              <w:rPr>
                <w:rStyle w:val="Hyperlink"/>
                <w:b/>
                <w:bCs/>
                <w:noProof/>
              </w:rPr>
              <w:t>Freedom from violence, stigma, and stereotypes</w:t>
            </w:r>
            <w:r w:rsidR="004F6D71">
              <w:rPr>
                <w:noProof/>
                <w:webHidden/>
              </w:rPr>
              <w:tab/>
            </w:r>
            <w:r w:rsidR="004F6D71">
              <w:rPr>
                <w:noProof/>
                <w:webHidden/>
              </w:rPr>
              <w:fldChar w:fldCharType="begin"/>
            </w:r>
            <w:r w:rsidR="004F6D71">
              <w:rPr>
                <w:noProof/>
                <w:webHidden/>
              </w:rPr>
              <w:instrText xml:space="preserve"> PAGEREF _Toc169709884 \h </w:instrText>
            </w:r>
            <w:r w:rsidR="004F6D71">
              <w:rPr>
                <w:noProof/>
                <w:webHidden/>
              </w:rPr>
            </w:r>
            <w:r w:rsidR="004F6D71">
              <w:rPr>
                <w:noProof/>
                <w:webHidden/>
              </w:rPr>
              <w:fldChar w:fldCharType="separate"/>
            </w:r>
            <w:r w:rsidR="000415B2">
              <w:rPr>
                <w:noProof/>
                <w:webHidden/>
              </w:rPr>
              <w:t>31</w:t>
            </w:r>
            <w:r w:rsidR="004F6D71">
              <w:rPr>
                <w:noProof/>
                <w:webHidden/>
              </w:rPr>
              <w:fldChar w:fldCharType="end"/>
            </w:r>
          </w:hyperlink>
        </w:p>
        <w:p w14:paraId="750D46E9" w14:textId="417B3F73" w:rsidR="004F6D71" w:rsidRDefault="00000000">
          <w:pPr>
            <w:pStyle w:val="TOC3"/>
            <w:rPr>
              <w:rFonts w:eastAsiaTheme="minorEastAsia"/>
              <w:noProof/>
              <w:kern w:val="2"/>
              <w:sz w:val="24"/>
              <w:szCs w:val="24"/>
              <w:lang w:eastAsia="zh-CN"/>
              <w14:ligatures w14:val="standardContextual"/>
            </w:rPr>
          </w:pPr>
          <w:hyperlink w:anchor="_Toc169709885" w:history="1">
            <w:r w:rsidR="004F6D71" w:rsidRPr="004F4997">
              <w:rPr>
                <w:rStyle w:val="Hyperlink"/>
                <w:b/>
                <w:bCs/>
                <w:noProof/>
              </w:rPr>
              <w:t>A.</w:t>
            </w:r>
            <w:r w:rsidR="004F6D71">
              <w:rPr>
                <w:rFonts w:eastAsiaTheme="minorEastAsia"/>
                <w:noProof/>
                <w:kern w:val="2"/>
                <w:sz w:val="24"/>
                <w:szCs w:val="24"/>
                <w:lang w:eastAsia="zh-CN"/>
                <w14:ligatures w14:val="standardContextual"/>
              </w:rPr>
              <w:tab/>
            </w:r>
            <w:r w:rsidR="004F6D71" w:rsidRPr="004F4997">
              <w:rPr>
                <w:rStyle w:val="Hyperlink"/>
                <w:b/>
                <w:bCs/>
                <w:noProof/>
              </w:rPr>
              <w:t>Eliminating Gender-Based Violence</w:t>
            </w:r>
            <w:r w:rsidR="004F6D71">
              <w:rPr>
                <w:noProof/>
                <w:webHidden/>
              </w:rPr>
              <w:tab/>
            </w:r>
            <w:r w:rsidR="004F6D71">
              <w:rPr>
                <w:noProof/>
                <w:webHidden/>
              </w:rPr>
              <w:fldChar w:fldCharType="begin"/>
            </w:r>
            <w:r w:rsidR="004F6D71">
              <w:rPr>
                <w:noProof/>
                <w:webHidden/>
              </w:rPr>
              <w:instrText xml:space="preserve"> PAGEREF _Toc169709885 \h </w:instrText>
            </w:r>
            <w:r w:rsidR="004F6D71">
              <w:rPr>
                <w:noProof/>
                <w:webHidden/>
              </w:rPr>
            </w:r>
            <w:r w:rsidR="004F6D71">
              <w:rPr>
                <w:noProof/>
                <w:webHidden/>
              </w:rPr>
              <w:fldChar w:fldCharType="separate"/>
            </w:r>
            <w:r w:rsidR="000415B2">
              <w:rPr>
                <w:noProof/>
                <w:webHidden/>
              </w:rPr>
              <w:t>31</w:t>
            </w:r>
            <w:r w:rsidR="004F6D71">
              <w:rPr>
                <w:noProof/>
                <w:webHidden/>
              </w:rPr>
              <w:fldChar w:fldCharType="end"/>
            </w:r>
          </w:hyperlink>
        </w:p>
        <w:p w14:paraId="1966510F" w14:textId="546C1796" w:rsidR="004F6D71" w:rsidRDefault="00000000">
          <w:pPr>
            <w:pStyle w:val="TOC3"/>
            <w:rPr>
              <w:rFonts w:eastAsiaTheme="minorEastAsia"/>
              <w:noProof/>
              <w:kern w:val="2"/>
              <w:sz w:val="24"/>
              <w:szCs w:val="24"/>
              <w:lang w:eastAsia="zh-CN"/>
              <w14:ligatures w14:val="standardContextual"/>
            </w:rPr>
          </w:pPr>
          <w:hyperlink w:anchor="_Toc169709886" w:history="1">
            <w:r w:rsidR="004F6D71" w:rsidRPr="004F4997">
              <w:rPr>
                <w:rStyle w:val="Hyperlink"/>
                <w:b/>
                <w:bCs/>
                <w:noProof/>
                <w:lang w:val="en-GB"/>
              </w:rPr>
              <w:t>B.</w:t>
            </w:r>
            <w:r w:rsidR="004F6D71">
              <w:rPr>
                <w:rFonts w:eastAsiaTheme="minorEastAsia"/>
                <w:noProof/>
                <w:kern w:val="2"/>
                <w:sz w:val="24"/>
                <w:szCs w:val="24"/>
                <w:lang w:eastAsia="zh-CN"/>
                <w14:ligatures w14:val="standardContextual"/>
              </w:rPr>
              <w:tab/>
            </w:r>
            <w:r w:rsidR="004F6D71" w:rsidRPr="004F4997">
              <w:rPr>
                <w:rStyle w:val="Hyperlink"/>
                <w:b/>
                <w:bCs/>
                <w:noProof/>
                <w:lang w:val="en-GB"/>
              </w:rPr>
              <w:t>Technology-Facilitated Violence</w:t>
            </w:r>
            <w:r w:rsidR="004F6D71">
              <w:rPr>
                <w:noProof/>
                <w:webHidden/>
              </w:rPr>
              <w:tab/>
            </w:r>
            <w:r w:rsidR="004F6D71">
              <w:rPr>
                <w:noProof/>
                <w:webHidden/>
              </w:rPr>
              <w:fldChar w:fldCharType="begin"/>
            </w:r>
            <w:r w:rsidR="004F6D71">
              <w:rPr>
                <w:noProof/>
                <w:webHidden/>
              </w:rPr>
              <w:instrText xml:space="preserve"> PAGEREF _Toc169709886 \h </w:instrText>
            </w:r>
            <w:r w:rsidR="004F6D71">
              <w:rPr>
                <w:noProof/>
                <w:webHidden/>
              </w:rPr>
            </w:r>
            <w:r w:rsidR="004F6D71">
              <w:rPr>
                <w:noProof/>
                <w:webHidden/>
              </w:rPr>
              <w:fldChar w:fldCharType="separate"/>
            </w:r>
            <w:r w:rsidR="000415B2">
              <w:rPr>
                <w:noProof/>
                <w:webHidden/>
              </w:rPr>
              <w:t>36</w:t>
            </w:r>
            <w:r w:rsidR="004F6D71">
              <w:rPr>
                <w:noProof/>
                <w:webHidden/>
              </w:rPr>
              <w:fldChar w:fldCharType="end"/>
            </w:r>
          </w:hyperlink>
        </w:p>
        <w:p w14:paraId="05405C08" w14:textId="76A745DF" w:rsidR="004F6D71" w:rsidRDefault="00000000">
          <w:pPr>
            <w:pStyle w:val="TOC3"/>
            <w:rPr>
              <w:rFonts w:eastAsiaTheme="minorEastAsia"/>
              <w:noProof/>
              <w:kern w:val="2"/>
              <w:sz w:val="24"/>
              <w:szCs w:val="24"/>
              <w:lang w:eastAsia="zh-CN"/>
              <w14:ligatures w14:val="standardContextual"/>
            </w:rPr>
          </w:pPr>
          <w:hyperlink w:anchor="_Toc169709887" w:history="1">
            <w:r w:rsidR="004F6D71" w:rsidRPr="004F4997">
              <w:rPr>
                <w:rStyle w:val="Hyperlink"/>
                <w:b/>
                <w:bCs/>
                <w:noProof/>
                <w:lang w:val="en-GB"/>
              </w:rPr>
              <w:t>C.</w:t>
            </w:r>
            <w:r w:rsidR="004F6D71">
              <w:rPr>
                <w:rFonts w:eastAsiaTheme="minorEastAsia"/>
                <w:noProof/>
                <w:kern w:val="2"/>
                <w:sz w:val="24"/>
                <w:szCs w:val="24"/>
                <w:lang w:eastAsia="zh-CN"/>
                <w14:ligatures w14:val="standardContextual"/>
              </w:rPr>
              <w:tab/>
            </w:r>
            <w:r w:rsidR="004F6D71" w:rsidRPr="004F4997">
              <w:rPr>
                <w:rStyle w:val="Hyperlink"/>
                <w:b/>
                <w:bCs/>
                <w:noProof/>
                <w:lang w:val="en-GB"/>
              </w:rPr>
              <w:t>Portrayal of women and girls and discrimination/gender bias in the media</w:t>
            </w:r>
            <w:r w:rsidR="004F6D71">
              <w:rPr>
                <w:noProof/>
                <w:webHidden/>
              </w:rPr>
              <w:tab/>
            </w:r>
            <w:r w:rsidR="004F6D71">
              <w:rPr>
                <w:noProof/>
                <w:webHidden/>
              </w:rPr>
              <w:fldChar w:fldCharType="begin"/>
            </w:r>
            <w:r w:rsidR="004F6D71">
              <w:rPr>
                <w:noProof/>
                <w:webHidden/>
              </w:rPr>
              <w:instrText xml:space="preserve"> PAGEREF _Toc169709887 \h </w:instrText>
            </w:r>
            <w:r w:rsidR="004F6D71">
              <w:rPr>
                <w:noProof/>
                <w:webHidden/>
              </w:rPr>
            </w:r>
            <w:r w:rsidR="004F6D71">
              <w:rPr>
                <w:noProof/>
                <w:webHidden/>
              </w:rPr>
              <w:fldChar w:fldCharType="separate"/>
            </w:r>
            <w:r w:rsidR="000415B2">
              <w:rPr>
                <w:noProof/>
                <w:webHidden/>
              </w:rPr>
              <w:t>40</w:t>
            </w:r>
            <w:r w:rsidR="004F6D71">
              <w:rPr>
                <w:noProof/>
                <w:webHidden/>
              </w:rPr>
              <w:fldChar w:fldCharType="end"/>
            </w:r>
          </w:hyperlink>
        </w:p>
        <w:p w14:paraId="11175F7F" w14:textId="011A1BBB" w:rsidR="004F6D71" w:rsidRDefault="00000000">
          <w:pPr>
            <w:pStyle w:val="TOC2"/>
            <w:rPr>
              <w:rFonts w:eastAsiaTheme="minorEastAsia"/>
              <w:noProof/>
              <w:kern w:val="2"/>
              <w:sz w:val="24"/>
              <w:szCs w:val="24"/>
              <w:lang w:eastAsia="zh-CN"/>
              <w14:ligatures w14:val="standardContextual"/>
            </w:rPr>
          </w:pPr>
          <w:hyperlink w:anchor="_Toc169709888" w:history="1">
            <w:r w:rsidR="004F6D71" w:rsidRPr="004F4997">
              <w:rPr>
                <w:rStyle w:val="Hyperlink"/>
                <w:b/>
                <w:noProof/>
              </w:rPr>
              <w:t>Participation, accountability, and gender-responsive institutions</w:t>
            </w:r>
            <w:r w:rsidR="004F6D71">
              <w:rPr>
                <w:noProof/>
                <w:webHidden/>
              </w:rPr>
              <w:tab/>
            </w:r>
            <w:r w:rsidR="004F6D71">
              <w:rPr>
                <w:noProof/>
                <w:webHidden/>
              </w:rPr>
              <w:fldChar w:fldCharType="begin"/>
            </w:r>
            <w:r w:rsidR="004F6D71">
              <w:rPr>
                <w:noProof/>
                <w:webHidden/>
              </w:rPr>
              <w:instrText xml:space="preserve"> PAGEREF _Toc169709888 \h </w:instrText>
            </w:r>
            <w:r w:rsidR="004F6D71">
              <w:rPr>
                <w:noProof/>
                <w:webHidden/>
              </w:rPr>
            </w:r>
            <w:r w:rsidR="004F6D71">
              <w:rPr>
                <w:noProof/>
                <w:webHidden/>
              </w:rPr>
              <w:fldChar w:fldCharType="separate"/>
            </w:r>
            <w:r w:rsidR="000415B2">
              <w:rPr>
                <w:noProof/>
                <w:webHidden/>
              </w:rPr>
              <w:t>41</w:t>
            </w:r>
            <w:r w:rsidR="004F6D71">
              <w:rPr>
                <w:noProof/>
                <w:webHidden/>
              </w:rPr>
              <w:fldChar w:fldCharType="end"/>
            </w:r>
          </w:hyperlink>
        </w:p>
        <w:p w14:paraId="48B754A4" w14:textId="4DC60A91" w:rsidR="004F6D71" w:rsidRDefault="00000000">
          <w:pPr>
            <w:pStyle w:val="TOC3"/>
            <w:rPr>
              <w:rFonts w:eastAsiaTheme="minorEastAsia"/>
              <w:noProof/>
              <w:kern w:val="2"/>
              <w:sz w:val="24"/>
              <w:szCs w:val="24"/>
              <w:lang w:eastAsia="zh-CN"/>
              <w14:ligatures w14:val="standardContextual"/>
            </w:rPr>
          </w:pPr>
          <w:hyperlink w:anchor="_Toc169709889" w:history="1">
            <w:r w:rsidR="004F6D71" w:rsidRPr="004F4997">
              <w:rPr>
                <w:rStyle w:val="Hyperlink"/>
                <w:b/>
                <w:noProof/>
              </w:rPr>
              <w:t>A.</w:t>
            </w:r>
            <w:r w:rsidR="004F6D71">
              <w:rPr>
                <w:rFonts w:eastAsiaTheme="minorEastAsia"/>
                <w:noProof/>
                <w:kern w:val="2"/>
                <w:sz w:val="24"/>
                <w:szCs w:val="24"/>
                <w:lang w:eastAsia="zh-CN"/>
                <w14:ligatures w14:val="standardContextual"/>
              </w:rPr>
              <w:tab/>
            </w:r>
            <w:r w:rsidR="004F6D71" w:rsidRPr="004F4997">
              <w:rPr>
                <w:rStyle w:val="Hyperlink"/>
                <w:b/>
                <w:noProof/>
              </w:rPr>
              <w:t>Promote Women’s Participation in Public Life and Decision-Making</w:t>
            </w:r>
            <w:r w:rsidR="004F6D71">
              <w:rPr>
                <w:noProof/>
                <w:webHidden/>
              </w:rPr>
              <w:tab/>
            </w:r>
            <w:r w:rsidR="004F6D71">
              <w:rPr>
                <w:noProof/>
                <w:webHidden/>
              </w:rPr>
              <w:fldChar w:fldCharType="begin"/>
            </w:r>
            <w:r w:rsidR="004F6D71">
              <w:rPr>
                <w:noProof/>
                <w:webHidden/>
              </w:rPr>
              <w:instrText xml:space="preserve"> PAGEREF _Toc169709889 \h </w:instrText>
            </w:r>
            <w:r w:rsidR="004F6D71">
              <w:rPr>
                <w:noProof/>
                <w:webHidden/>
              </w:rPr>
            </w:r>
            <w:r w:rsidR="004F6D71">
              <w:rPr>
                <w:noProof/>
                <w:webHidden/>
              </w:rPr>
              <w:fldChar w:fldCharType="separate"/>
            </w:r>
            <w:r w:rsidR="000415B2">
              <w:rPr>
                <w:noProof/>
                <w:webHidden/>
              </w:rPr>
              <w:t>41</w:t>
            </w:r>
            <w:r w:rsidR="004F6D71">
              <w:rPr>
                <w:noProof/>
                <w:webHidden/>
              </w:rPr>
              <w:fldChar w:fldCharType="end"/>
            </w:r>
          </w:hyperlink>
        </w:p>
        <w:p w14:paraId="3C36F8B0" w14:textId="5431FB81" w:rsidR="004F6D71" w:rsidRDefault="00000000">
          <w:pPr>
            <w:pStyle w:val="TOC3"/>
            <w:rPr>
              <w:rFonts w:eastAsiaTheme="minorEastAsia"/>
              <w:noProof/>
              <w:kern w:val="2"/>
              <w:sz w:val="24"/>
              <w:szCs w:val="24"/>
              <w:lang w:eastAsia="zh-CN"/>
              <w14:ligatures w14:val="standardContextual"/>
            </w:rPr>
          </w:pPr>
          <w:hyperlink w:anchor="_Toc169709890" w:history="1">
            <w:r w:rsidR="004F6D71" w:rsidRPr="004F4997">
              <w:rPr>
                <w:rStyle w:val="Hyperlink"/>
                <w:b/>
                <w:bCs/>
                <w:noProof/>
              </w:rPr>
              <w:t>B.</w:t>
            </w:r>
            <w:r w:rsidR="004F6D71">
              <w:rPr>
                <w:rFonts w:eastAsiaTheme="minorEastAsia"/>
                <w:noProof/>
                <w:kern w:val="2"/>
                <w:sz w:val="24"/>
                <w:szCs w:val="24"/>
                <w:lang w:eastAsia="zh-CN"/>
                <w14:ligatures w14:val="standardContextual"/>
              </w:rPr>
              <w:tab/>
            </w:r>
            <w:r w:rsidR="004F6D71" w:rsidRPr="004F4997">
              <w:rPr>
                <w:rStyle w:val="Hyperlink"/>
                <w:b/>
                <w:bCs/>
                <w:noProof/>
              </w:rPr>
              <w:t>Increase Women’s Access to Expression and Participation in Decision-Making in the Media through ICT</w:t>
            </w:r>
            <w:r w:rsidR="004F6D71">
              <w:rPr>
                <w:noProof/>
                <w:webHidden/>
              </w:rPr>
              <w:tab/>
            </w:r>
            <w:r w:rsidR="004F6D71">
              <w:rPr>
                <w:noProof/>
                <w:webHidden/>
              </w:rPr>
              <w:fldChar w:fldCharType="begin"/>
            </w:r>
            <w:r w:rsidR="004F6D71">
              <w:rPr>
                <w:noProof/>
                <w:webHidden/>
              </w:rPr>
              <w:instrText xml:space="preserve"> PAGEREF _Toc169709890 \h </w:instrText>
            </w:r>
            <w:r w:rsidR="004F6D71">
              <w:rPr>
                <w:noProof/>
                <w:webHidden/>
              </w:rPr>
            </w:r>
            <w:r w:rsidR="004F6D71">
              <w:rPr>
                <w:noProof/>
                <w:webHidden/>
              </w:rPr>
              <w:fldChar w:fldCharType="separate"/>
            </w:r>
            <w:r w:rsidR="000415B2">
              <w:rPr>
                <w:noProof/>
                <w:webHidden/>
              </w:rPr>
              <w:t>43</w:t>
            </w:r>
            <w:r w:rsidR="004F6D71">
              <w:rPr>
                <w:noProof/>
                <w:webHidden/>
              </w:rPr>
              <w:fldChar w:fldCharType="end"/>
            </w:r>
          </w:hyperlink>
        </w:p>
        <w:p w14:paraId="23EF3B00" w14:textId="04700619" w:rsidR="004F6D71" w:rsidRDefault="00000000">
          <w:pPr>
            <w:pStyle w:val="TOC3"/>
            <w:rPr>
              <w:rFonts w:eastAsiaTheme="minorEastAsia"/>
              <w:noProof/>
              <w:kern w:val="2"/>
              <w:sz w:val="24"/>
              <w:szCs w:val="24"/>
              <w:lang w:eastAsia="zh-CN"/>
              <w14:ligatures w14:val="standardContextual"/>
            </w:rPr>
          </w:pPr>
          <w:hyperlink w:anchor="_Toc169709891" w:history="1">
            <w:r w:rsidR="004F6D71" w:rsidRPr="004F4997">
              <w:rPr>
                <w:rStyle w:val="Hyperlink"/>
                <w:b/>
                <w:bCs/>
                <w:noProof/>
              </w:rPr>
              <w:t>C.</w:t>
            </w:r>
            <w:r w:rsidR="004F6D71">
              <w:rPr>
                <w:rFonts w:eastAsiaTheme="minorEastAsia"/>
                <w:noProof/>
                <w:kern w:val="2"/>
                <w:sz w:val="24"/>
                <w:szCs w:val="24"/>
                <w:lang w:eastAsia="zh-CN"/>
                <w14:ligatures w14:val="standardContextual"/>
              </w:rPr>
              <w:tab/>
            </w:r>
            <w:r w:rsidR="004F6D71" w:rsidRPr="004F4997">
              <w:rPr>
                <w:rStyle w:val="Hyperlink"/>
                <w:b/>
                <w:bCs/>
                <w:noProof/>
              </w:rPr>
              <w:t>Singapore’s National Women’s Machinery</w:t>
            </w:r>
            <w:r w:rsidR="004F6D71">
              <w:rPr>
                <w:noProof/>
                <w:webHidden/>
              </w:rPr>
              <w:tab/>
            </w:r>
            <w:r w:rsidR="004F6D71">
              <w:rPr>
                <w:noProof/>
                <w:webHidden/>
              </w:rPr>
              <w:fldChar w:fldCharType="begin"/>
            </w:r>
            <w:r w:rsidR="004F6D71">
              <w:rPr>
                <w:noProof/>
                <w:webHidden/>
              </w:rPr>
              <w:instrText xml:space="preserve"> PAGEREF _Toc169709891 \h </w:instrText>
            </w:r>
            <w:r w:rsidR="004F6D71">
              <w:rPr>
                <w:noProof/>
                <w:webHidden/>
              </w:rPr>
            </w:r>
            <w:r w:rsidR="004F6D71">
              <w:rPr>
                <w:noProof/>
                <w:webHidden/>
              </w:rPr>
              <w:fldChar w:fldCharType="separate"/>
            </w:r>
            <w:r w:rsidR="000415B2">
              <w:rPr>
                <w:noProof/>
                <w:webHidden/>
              </w:rPr>
              <w:t>44</w:t>
            </w:r>
            <w:r w:rsidR="004F6D71">
              <w:rPr>
                <w:noProof/>
                <w:webHidden/>
              </w:rPr>
              <w:fldChar w:fldCharType="end"/>
            </w:r>
          </w:hyperlink>
        </w:p>
        <w:p w14:paraId="2BB73848" w14:textId="0DA38605" w:rsidR="004F6D71" w:rsidRDefault="00000000">
          <w:pPr>
            <w:pStyle w:val="TOC2"/>
            <w:rPr>
              <w:rFonts w:eastAsiaTheme="minorEastAsia"/>
              <w:noProof/>
              <w:kern w:val="2"/>
              <w:sz w:val="24"/>
              <w:szCs w:val="24"/>
              <w:lang w:eastAsia="zh-CN"/>
              <w14:ligatures w14:val="standardContextual"/>
            </w:rPr>
          </w:pPr>
          <w:hyperlink w:anchor="_Toc169709892" w:history="1">
            <w:r w:rsidR="004F6D71" w:rsidRPr="004F4997">
              <w:rPr>
                <w:rStyle w:val="Hyperlink"/>
                <w:b/>
                <w:bCs/>
                <w:noProof/>
              </w:rPr>
              <w:t>Peaceful and inclusive societies</w:t>
            </w:r>
            <w:r w:rsidR="004F6D71">
              <w:rPr>
                <w:noProof/>
                <w:webHidden/>
              </w:rPr>
              <w:tab/>
            </w:r>
            <w:r w:rsidR="004F6D71">
              <w:rPr>
                <w:noProof/>
                <w:webHidden/>
              </w:rPr>
              <w:fldChar w:fldCharType="begin"/>
            </w:r>
            <w:r w:rsidR="004F6D71">
              <w:rPr>
                <w:noProof/>
                <w:webHidden/>
              </w:rPr>
              <w:instrText xml:space="preserve"> PAGEREF _Toc169709892 \h </w:instrText>
            </w:r>
            <w:r w:rsidR="004F6D71">
              <w:rPr>
                <w:noProof/>
                <w:webHidden/>
              </w:rPr>
            </w:r>
            <w:r w:rsidR="004F6D71">
              <w:rPr>
                <w:noProof/>
                <w:webHidden/>
              </w:rPr>
              <w:fldChar w:fldCharType="separate"/>
            </w:r>
            <w:r w:rsidR="000415B2">
              <w:rPr>
                <w:noProof/>
                <w:webHidden/>
              </w:rPr>
              <w:t>46</w:t>
            </w:r>
            <w:r w:rsidR="004F6D71">
              <w:rPr>
                <w:noProof/>
                <w:webHidden/>
              </w:rPr>
              <w:fldChar w:fldCharType="end"/>
            </w:r>
          </w:hyperlink>
        </w:p>
        <w:p w14:paraId="2EF6EE5C" w14:textId="55C11E8A" w:rsidR="004F6D71" w:rsidRDefault="00000000">
          <w:pPr>
            <w:pStyle w:val="TOC3"/>
            <w:rPr>
              <w:rFonts w:eastAsiaTheme="minorEastAsia"/>
              <w:noProof/>
              <w:kern w:val="2"/>
              <w:sz w:val="24"/>
              <w:szCs w:val="24"/>
              <w:lang w:eastAsia="zh-CN"/>
              <w14:ligatures w14:val="standardContextual"/>
            </w:rPr>
          </w:pPr>
          <w:hyperlink w:anchor="_Toc169709893" w:history="1">
            <w:r w:rsidR="004F6D71" w:rsidRPr="004F4997">
              <w:rPr>
                <w:rStyle w:val="Hyperlink"/>
                <w:b/>
                <w:bCs/>
                <w:noProof/>
              </w:rPr>
              <w:t>A.</w:t>
            </w:r>
            <w:r w:rsidR="004F6D71">
              <w:rPr>
                <w:rFonts w:eastAsiaTheme="minorEastAsia"/>
                <w:noProof/>
                <w:kern w:val="2"/>
                <w:sz w:val="24"/>
                <w:szCs w:val="24"/>
                <w:lang w:eastAsia="zh-CN"/>
                <w14:ligatures w14:val="standardContextual"/>
              </w:rPr>
              <w:tab/>
            </w:r>
            <w:r w:rsidR="004F6D71" w:rsidRPr="004F4997">
              <w:rPr>
                <w:rStyle w:val="Hyperlink"/>
                <w:b/>
                <w:bCs/>
                <w:noProof/>
              </w:rPr>
              <w:t>Women, Peace, and Security</w:t>
            </w:r>
            <w:r w:rsidR="004F6D71">
              <w:rPr>
                <w:noProof/>
                <w:webHidden/>
              </w:rPr>
              <w:tab/>
            </w:r>
            <w:r w:rsidR="004F6D71">
              <w:rPr>
                <w:noProof/>
                <w:webHidden/>
              </w:rPr>
              <w:fldChar w:fldCharType="begin"/>
            </w:r>
            <w:r w:rsidR="004F6D71">
              <w:rPr>
                <w:noProof/>
                <w:webHidden/>
              </w:rPr>
              <w:instrText xml:space="preserve"> PAGEREF _Toc169709893 \h </w:instrText>
            </w:r>
            <w:r w:rsidR="004F6D71">
              <w:rPr>
                <w:noProof/>
                <w:webHidden/>
              </w:rPr>
            </w:r>
            <w:r w:rsidR="004F6D71">
              <w:rPr>
                <w:noProof/>
                <w:webHidden/>
              </w:rPr>
              <w:fldChar w:fldCharType="separate"/>
            </w:r>
            <w:r w:rsidR="000415B2">
              <w:rPr>
                <w:noProof/>
                <w:webHidden/>
              </w:rPr>
              <w:t>46</w:t>
            </w:r>
            <w:r w:rsidR="004F6D71">
              <w:rPr>
                <w:noProof/>
                <w:webHidden/>
              </w:rPr>
              <w:fldChar w:fldCharType="end"/>
            </w:r>
          </w:hyperlink>
        </w:p>
        <w:p w14:paraId="52230ED8" w14:textId="3CD15CDE" w:rsidR="004F6D71" w:rsidRDefault="00000000">
          <w:pPr>
            <w:pStyle w:val="TOC3"/>
            <w:rPr>
              <w:rFonts w:eastAsiaTheme="minorEastAsia"/>
              <w:noProof/>
              <w:kern w:val="2"/>
              <w:sz w:val="24"/>
              <w:szCs w:val="24"/>
              <w:lang w:eastAsia="zh-CN"/>
              <w14:ligatures w14:val="standardContextual"/>
            </w:rPr>
          </w:pPr>
          <w:hyperlink w:anchor="_Toc169709894" w:history="1">
            <w:r w:rsidR="004F6D71" w:rsidRPr="004F4997">
              <w:rPr>
                <w:rStyle w:val="Hyperlink"/>
                <w:b/>
                <w:bCs/>
                <w:noProof/>
              </w:rPr>
              <w:t>B.</w:t>
            </w:r>
            <w:r w:rsidR="004F6D71">
              <w:rPr>
                <w:rFonts w:eastAsiaTheme="minorEastAsia"/>
                <w:noProof/>
                <w:kern w:val="2"/>
                <w:sz w:val="24"/>
                <w:szCs w:val="24"/>
                <w:lang w:eastAsia="zh-CN"/>
                <w14:ligatures w14:val="standardContextual"/>
              </w:rPr>
              <w:tab/>
            </w:r>
            <w:r w:rsidR="004F6D71" w:rsidRPr="004F4997">
              <w:rPr>
                <w:rStyle w:val="Hyperlink"/>
                <w:b/>
                <w:bCs/>
                <w:noProof/>
              </w:rPr>
              <w:t>International Humanitarian Law</w:t>
            </w:r>
            <w:r w:rsidR="004F6D71">
              <w:rPr>
                <w:noProof/>
                <w:webHidden/>
              </w:rPr>
              <w:tab/>
            </w:r>
            <w:r w:rsidR="004F6D71">
              <w:rPr>
                <w:noProof/>
                <w:webHidden/>
              </w:rPr>
              <w:fldChar w:fldCharType="begin"/>
            </w:r>
            <w:r w:rsidR="004F6D71">
              <w:rPr>
                <w:noProof/>
                <w:webHidden/>
              </w:rPr>
              <w:instrText xml:space="preserve"> PAGEREF _Toc169709894 \h </w:instrText>
            </w:r>
            <w:r w:rsidR="004F6D71">
              <w:rPr>
                <w:noProof/>
                <w:webHidden/>
              </w:rPr>
            </w:r>
            <w:r w:rsidR="004F6D71">
              <w:rPr>
                <w:noProof/>
                <w:webHidden/>
              </w:rPr>
              <w:fldChar w:fldCharType="separate"/>
            </w:r>
            <w:r w:rsidR="000415B2">
              <w:rPr>
                <w:noProof/>
                <w:webHidden/>
              </w:rPr>
              <w:t>47</w:t>
            </w:r>
            <w:r w:rsidR="004F6D71">
              <w:rPr>
                <w:noProof/>
                <w:webHidden/>
              </w:rPr>
              <w:fldChar w:fldCharType="end"/>
            </w:r>
          </w:hyperlink>
        </w:p>
        <w:p w14:paraId="25FD62FD" w14:textId="47C738E9" w:rsidR="004F6D71" w:rsidRDefault="00000000">
          <w:pPr>
            <w:pStyle w:val="TOC3"/>
            <w:rPr>
              <w:rFonts w:eastAsiaTheme="minorEastAsia"/>
              <w:noProof/>
              <w:kern w:val="2"/>
              <w:sz w:val="24"/>
              <w:szCs w:val="24"/>
              <w:lang w:eastAsia="zh-CN"/>
              <w14:ligatures w14:val="standardContextual"/>
            </w:rPr>
          </w:pPr>
          <w:hyperlink w:anchor="_Toc169709895" w:history="1">
            <w:r w:rsidR="004F6D71" w:rsidRPr="004F4997">
              <w:rPr>
                <w:rStyle w:val="Hyperlink"/>
                <w:b/>
                <w:bCs/>
                <w:noProof/>
              </w:rPr>
              <w:t>C.</w:t>
            </w:r>
            <w:r w:rsidR="004F6D71">
              <w:rPr>
                <w:rFonts w:eastAsiaTheme="minorEastAsia"/>
                <w:noProof/>
                <w:kern w:val="2"/>
                <w:sz w:val="24"/>
                <w:szCs w:val="24"/>
                <w:lang w:eastAsia="zh-CN"/>
                <w14:ligatures w14:val="standardContextual"/>
              </w:rPr>
              <w:tab/>
            </w:r>
            <w:r w:rsidR="004F6D71" w:rsidRPr="004F4997">
              <w:rPr>
                <w:rStyle w:val="Hyperlink"/>
                <w:b/>
                <w:bCs/>
                <w:noProof/>
              </w:rPr>
              <w:t>Rights of the Girl Child</w:t>
            </w:r>
            <w:r w:rsidR="004F6D71">
              <w:rPr>
                <w:noProof/>
                <w:webHidden/>
              </w:rPr>
              <w:tab/>
            </w:r>
            <w:r w:rsidR="004F6D71">
              <w:rPr>
                <w:noProof/>
                <w:webHidden/>
              </w:rPr>
              <w:fldChar w:fldCharType="begin"/>
            </w:r>
            <w:r w:rsidR="004F6D71">
              <w:rPr>
                <w:noProof/>
                <w:webHidden/>
              </w:rPr>
              <w:instrText xml:space="preserve"> PAGEREF _Toc169709895 \h </w:instrText>
            </w:r>
            <w:r w:rsidR="004F6D71">
              <w:rPr>
                <w:noProof/>
                <w:webHidden/>
              </w:rPr>
            </w:r>
            <w:r w:rsidR="004F6D71">
              <w:rPr>
                <w:noProof/>
                <w:webHidden/>
              </w:rPr>
              <w:fldChar w:fldCharType="separate"/>
            </w:r>
            <w:r w:rsidR="000415B2">
              <w:rPr>
                <w:noProof/>
                <w:webHidden/>
              </w:rPr>
              <w:t>52</w:t>
            </w:r>
            <w:r w:rsidR="004F6D71">
              <w:rPr>
                <w:noProof/>
                <w:webHidden/>
              </w:rPr>
              <w:fldChar w:fldCharType="end"/>
            </w:r>
          </w:hyperlink>
        </w:p>
        <w:p w14:paraId="04CB5AAE" w14:textId="4B34C8A2" w:rsidR="004F6D71" w:rsidRDefault="00000000">
          <w:pPr>
            <w:pStyle w:val="TOC2"/>
            <w:rPr>
              <w:rFonts w:eastAsiaTheme="minorEastAsia"/>
              <w:noProof/>
              <w:kern w:val="2"/>
              <w:sz w:val="24"/>
              <w:szCs w:val="24"/>
              <w:lang w:eastAsia="zh-CN"/>
              <w14:ligatures w14:val="standardContextual"/>
            </w:rPr>
          </w:pPr>
          <w:hyperlink w:anchor="_Toc169709896" w:history="1">
            <w:r w:rsidR="004F6D71" w:rsidRPr="004F4997">
              <w:rPr>
                <w:rStyle w:val="Hyperlink"/>
                <w:b/>
                <w:bCs/>
                <w:noProof/>
              </w:rPr>
              <w:t>Environmental conservation, protection, and rehabilitation</w:t>
            </w:r>
            <w:r w:rsidR="004F6D71">
              <w:rPr>
                <w:noProof/>
                <w:webHidden/>
              </w:rPr>
              <w:tab/>
            </w:r>
            <w:r w:rsidR="004F6D71">
              <w:rPr>
                <w:noProof/>
                <w:webHidden/>
              </w:rPr>
              <w:fldChar w:fldCharType="begin"/>
            </w:r>
            <w:r w:rsidR="004F6D71">
              <w:rPr>
                <w:noProof/>
                <w:webHidden/>
              </w:rPr>
              <w:instrText xml:space="preserve"> PAGEREF _Toc169709896 \h </w:instrText>
            </w:r>
            <w:r w:rsidR="004F6D71">
              <w:rPr>
                <w:noProof/>
                <w:webHidden/>
              </w:rPr>
            </w:r>
            <w:r w:rsidR="004F6D71">
              <w:rPr>
                <w:noProof/>
                <w:webHidden/>
              </w:rPr>
              <w:fldChar w:fldCharType="separate"/>
            </w:r>
            <w:r w:rsidR="000415B2">
              <w:rPr>
                <w:noProof/>
                <w:webHidden/>
              </w:rPr>
              <w:t>56</w:t>
            </w:r>
            <w:r w:rsidR="004F6D71">
              <w:rPr>
                <w:noProof/>
                <w:webHidden/>
              </w:rPr>
              <w:fldChar w:fldCharType="end"/>
            </w:r>
          </w:hyperlink>
        </w:p>
        <w:p w14:paraId="086285BA" w14:textId="343E19D7" w:rsidR="004F6D71" w:rsidRDefault="00000000">
          <w:pPr>
            <w:pStyle w:val="TOC3"/>
            <w:rPr>
              <w:rFonts w:eastAsiaTheme="minorEastAsia"/>
              <w:noProof/>
              <w:kern w:val="2"/>
              <w:sz w:val="24"/>
              <w:szCs w:val="24"/>
              <w:lang w:eastAsia="zh-CN"/>
              <w14:ligatures w14:val="standardContextual"/>
            </w:rPr>
          </w:pPr>
          <w:hyperlink w:anchor="_Toc169709897" w:history="1">
            <w:r w:rsidR="004F6D71" w:rsidRPr="004F4997">
              <w:rPr>
                <w:rStyle w:val="Hyperlink"/>
                <w:b/>
                <w:bCs/>
                <w:noProof/>
              </w:rPr>
              <w:t>A.</w:t>
            </w:r>
            <w:r w:rsidR="004F6D71">
              <w:rPr>
                <w:rFonts w:eastAsiaTheme="minorEastAsia"/>
                <w:noProof/>
                <w:kern w:val="2"/>
                <w:sz w:val="24"/>
                <w:szCs w:val="24"/>
                <w:lang w:eastAsia="zh-CN"/>
                <w14:ligatures w14:val="standardContextual"/>
              </w:rPr>
              <w:tab/>
            </w:r>
            <w:r w:rsidR="004F6D71" w:rsidRPr="004F4997">
              <w:rPr>
                <w:rStyle w:val="Hyperlink"/>
                <w:b/>
                <w:bCs/>
                <w:noProof/>
              </w:rPr>
              <w:t>Integrating Gender Perspectives and Concerns into Environmental Policies</w:t>
            </w:r>
            <w:r w:rsidR="004F6D71">
              <w:rPr>
                <w:noProof/>
                <w:webHidden/>
              </w:rPr>
              <w:tab/>
            </w:r>
            <w:r w:rsidR="004F6D71">
              <w:rPr>
                <w:noProof/>
                <w:webHidden/>
              </w:rPr>
              <w:fldChar w:fldCharType="begin"/>
            </w:r>
            <w:r w:rsidR="004F6D71">
              <w:rPr>
                <w:noProof/>
                <w:webHidden/>
              </w:rPr>
              <w:instrText xml:space="preserve"> PAGEREF _Toc169709897 \h </w:instrText>
            </w:r>
            <w:r w:rsidR="004F6D71">
              <w:rPr>
                <w:noProof/>
                <w:webHidden/>
              </w:rPr>
            </w:r>
            <w:r w:rsidR="004F6D71">
              <w:rPr>
                <w:noProof/>
                <w:webHidden/>
              </w:rPr>
              <w:fldChar w:fldCharType="separate"/>
            </w:r>
            <w:r w:rsidR="000415B2">
              <w:rPr>
                <w:noProof/>
                <w:webHidden/>
              </w:rPr>
              <w:t>56</w:t>
            </w:r>
            <w:r w:rsidR="004F6D71">
              <w:rPr>
                <w:noProof/>
                <w:webHidden/>
              </w:rPr>
              <w:fldChar w:fldCharType="end"/>
            </w:r>
          </w:hyperlink>
        </w:p>
        <w:p w14:paraId="46B0F31B" w14:textId="2C44C681" w:rsidR="004F6D71" w:rsidRDefault="00000000">
          <w:pPr>
            <w:pStyle w:val="TOC3"/>
            <w:rPr>
              <w:rFonts w:eastAsiaTheme="minorEastAsia"/>
              <w:noProof/>
              <w:kern w:val="2"/>
              <w:sz w:val="24"/>
              <w:szCs w:val="24"/>
              <w:lang w:eastAsia="zh-CN"/>
              <w14:ligatures w14:val="standardContextual"/>
            </w:rPr>
          </w:pPr>
          <w:hyperlink w:anchor="_Toc169709898" w:history="1">
            <w:r w:rsidR="004F6D71" w:rsidRPr="004F4997">
              <w:rPr>
                <w:rStyle w:val="Hyperlink"/>
                <w:b/>
                <w:bCs/>
                <w:noProof/>
              </w:rPr>
              <w:t xml:space="preserve">B. </w:t>
            </w:r>
            <w:r w:rsidR="004F6D71">
              <w:rPr>
                <w:rFonts w:eastAsiaTheme="minorEastAsia"/>
                <w:noProof/>
                <w:kern w:val="2"/>
                <w:sz w:val="24"/>
                <w:szCs w:val="24"/>
                <w:lang w:eastAsia="zh-CN"/>
                <w14:ligatures w14:val="standardContextual"/>
              </w:rPr>
              <w:tab/>
            </w:r>
            <w:r w:rsidR="004F6D71" w:rsidRPr="004F4997">
              <w:rPr>
                <w:rStyle w:val="Hyperlink"/>
                <w:b/>
                <w:bCs/>
                <w:noProof/>
              </w:rPr>
              <w:t>Building Environmental and Climate Resilience</w:t>
            </w:r>
            <w:r w:rsidR="004F6D71">
              <w:rPr>
                <w:noProof/>
                <w:webHidden/>
              </w:rPr>
              <w:tab/>
            </w:r>
            <w:r w:rsidR="004F6D71">
              <w:rPr>
                <w:noProof/>
                <w:webHidden/>
              </w:rPr>
              <w:fldChar w:fldCharType="begin"/>
            </w:r>
            <w:r w:rsidR="004F6D71">
              <w:rPr>
                <w:noProof/>
                <w:webHidden/>
              </w:rPr>
              <w:instrText xml:space="preserve"> PAGEREF _Toc169709898 \h </w:instrText>
            </w:r>
            <w:r w:rsidR="004F6D71">
              <w:rPr>
                <w:noProof/>
                <w:webHidden/>
              </w:rPr>
            </w:r>
            <w:r w:rsidR="004F6D71">
              <w:rPr>
                <w:noProof/>
                <w:webHidden/>
              </w:rPr>
              <w:fldChar w:fldCharType="separate"/>
            </w:r>
            <w:r w:rsidR="000415B2">
              <w:rPr>
                <w:noProof/>
                <w:webHidden/>
              </w:rPr>
              <w:t>56</w:t>
            </w:r>
            <w:r w:rsidR="004F6D71">
              <w:rPr>
                <w:noProof/>
                <w:webHidden/>
              </w:rPr>
              <w:fldChar w:fldCharType="end"/>
            </w:r>
          </w:hyperlink>
        </w:p>
        <w:p w14:paraId="0D6B380A" w14:textId="7ECE7794" w:rsidR="004F6D71" w:rsidRDefault="00000000" w:rsidP="00A62DB5">
          <w:pPr>
            <w:pStyle w:val="TOC1"/>
            <w:rPr>
              <w:rFonts w:eastAsiaTheme="minorEastAsia"/>
              <w:noProof/>
              <w:kern w:val="2"/>
              <w:sz w:val="24"/>
              <w:szCs w:val="24"/>
              <w:lang w:eastAsia="zh-CN"/>
              <w14:ligatures w14:val="standardContextual"/>
            </w:rPr>
          </w:pPr>
          <w:hyperlink w:anchor="_Toc169709899" w:history="1">
            <w:r w:rsidR="004F6D71" w:rsidRPr="004F4997">
              <w:rPr>
                <w:rStyle w:val="Hyperlink"/>
                <w:b/>
                <w:bCs/>
                <w:noProof/>
              </w:rPr>
              <w:t>Section Four: National institutions and processes</w:t>
            </w:r>
            <w:r w:rsidR="004F6D71">
              <w:rPr>
                <w:noProof/>
                <w:webHidden/>
              </w:rPr>
              <w:tab/>
            </w:r>
            <w:r w:rsidR="004F6D71">
              <w:rPr>
                <w:noProof/>
                <w:webHidden/>
              </w:rPr>
              <w:fldChar w:fldCharType="begin"/>
            </w:r>
            <w:r w:rsidR="004F6D71">
              <w:rPr>
                <w:noProof/>
                <w:webHidden/>
              </w:rPr>
              <w:instrText xml:space="preserve"> PAGEREF _Toc169709899 \h </w:instrText>
            </w:r>
            <w:r w:rsidR="004F6D71">
              <w:rPr>
                <w:noProof/>
                <w:webHidden/>
              </w:rPr>
            </w:r>
            <w:r w:rsidR="004F6D71">
              <w:rPr>
                <w:noProof/>
                <w:webHidden/>
              </w:rPr>
              <w:fldChar w:fldCharType="separate"/>
            </w:r>
            <w:r w:rsidR="000415B2">
              <w:rPr>
                <w:noProof/>
                <w:webHidden/>
              </w:rPr>
              <w:t>58</w:t>
            </w:r>
            <w:r w:rsidR="004F6D71">
              <w:rPr>
                <w:noProof/>
                <w:webHidden/>
              </w:rPr>
              <w:fldChar w:fldCharType="end"/>
            </w:r>
          </w:hyperlink>
        </w:p>
        <w:p w14:paraId="65519A51" w14:textId="73452A60" w:rsidR="004F6D71" w:rsidRDefault="00000000">
          <w:pPr>
            <w:pStyle w:val="TOC3"/>
            <w:rPr>
              <w:rFonts w:eastAsiaTheme="minorEastAsia"/>
              <w:noProof/>
              <w:kern w:val="2"/>
              <w:sz w:val="24"/>
              <w:szCs w:val="24"/>
              <w:lang w:eastAsia="zh-CN"/>
              <w14:ligatures w14:val="standardContextual"/>
            </w:rPr>
          </w:pPr>
          <w:hyperlink w:anchor="_Toc169709900" w:history="1">
            <w:r w:rsidR="004F6D71" w:rsidRPr="004F4997">
              <w:rPr>
                <w:rStyle w:val="Hyperlink"/>
                <w:b/>
                <w:bCs/>
                <w:noProof/>
              </w:rPr>
              <w:t>A.</w:t>
            </w:r>
            <w:r w:rsidR="004F6D71">
              <w:rPr>
                <w:rFonts w:eastAsiaTheme="minorEastAsia"/>
                <w:noProof/>
                <w:kern w:val="2"/>
                <w:sz w:val="24"/>
                <w:szCs w:val="24"/>
                <w:lang w:eastAsia="zh-CN"/>
                <w14:ligatures w14:val="standardContextual"/>
              </w:rPr>
              <w:tab/>
            </w:r>
            <w:r w:rsidR="004F6D71" w:rsidRPr="004F4997">
              <w:rPr>
                <w:rStyle w:val="Hyperlink"/>
                <w:b/>
                <w:bCs/>
                <w:noProof/>
              </w:rPr>
              <w:t>Singapore’s National Strategy and Action Plan for Gender Equality</w:t>
            </w:r>
            <w:r w:rsidR="004F6D71">
              <w:rPr>
                <w:noProof/>
                <w:webHidden/>
              </w:rPr>
              <w:tab/>
            </w:r>
            <w:r w:rsidR="004F6D71">
              <w:rPr>
                <w:noProof/>
                <w:webHidden/>
              </w:rPr>
              <w:fldChar w:fldCharType="begin"/>
            </w:r>
            <w:r w:rsidR="004F6D71">
              <w:rPr>
                <w:noProof/>
                <w:webHidden/>
              </w:rPr>
              <w:instrText xml:space="preserve"> PAGEREF _Toc169709900 \h </w:instrText>
            </w:r>
            <w:r w:rsidR="004F6D71">
              <w:rPr>
                <w:noProof/>
                <w:webHidden/>
              </w:rPr>
            </w:r>
            <w:r w:rsidR="004F6D71">
              <w:rPr>
                <w:noProof/>
                <w:webHidden/>
              </w:rPr>
              <w:fldChar w:fldCharType="separate"/>
            </w:r>
            <w:r w:rsidR="000415B2">
              <w:rPr>
                <w:noProof/>
                <w:webHidden/>
              </w:rPr>
              <w:t>58</w:t>
            </w:r>
            <w:r w:rsidR="004F6D71">
              <w:rPr>
                <w:noProof/>
                <w:webHidden/>
              </w:rPr>
              <w:fldChar w:fldCharType="end"/>
            </w:r>
          </w:hyperlink>
        </w:p>
        <w:p w14:paraId="069A0898" w14:textId="6D1015E8" w:rsidR="004F6D71" w:rsidRDefault="00000000">
          <w:pPr>
            <w:pStyle w:val="TOC3"/>
            <w:rPr>
              <w:rFonts w:eastAsiaTheme="minorEastAsia"/>
              <w:noProof/>
              <w:kern w:val="2"/>
              <w:sz w:val="24"/>
              <w:szCs w:val="24"/>
              <w:lang w:eastAsia="zh-CN"/>
              <w14:ligatures w14:val="standardContextual"/>
            </w:rPr>
          </w:pPr>
          <w:hyperlink w:anchor="_Toc169709901" w:history="1">
            <w:r w:rsidR="004F6D71" w:rsidRPr="004F4997">
              <w:rPr>
                <w:rStyle w:val="Hyperlink"/>
                <w:b/>
                <w:bCs/>
                <w:noProof/>
              </w:rPr>
              <w:t>B.</w:t>
            </w:r>
            <w:r w:rsidR="004F6D71">
              <w:rPr>
                <w:rFonts w:eastAsiaTheme="minorEastAsia"/>
                <w:noProof/>
                <w:kern w:val="2"/>
                <w:sz w:val="24"/>
                <w:szCs w:val="24"/>
                <w:lang w:eastAsia="zh-CN"/>
                <w14:ligatures w14:val="standardContextual"/>
              </w:rPr>
              <w:tab/>
            </w:r>
            <w:r w:rsidR="004F6D71" w:rsidRPr="004F4997">
              <w:rPr>
                <w:rStyle w:val="Hyperlink"/>
                <w:b/>
                <w:bCs/>
                <w:noProof/>
              </w:rPr>
              <w:t>Budget and Allocation of Resources</w:t>
            </w:r>
            <w:r w:rsidR="004F6D71">
              <w:rPr>
                <w:noProof/>
                <w:webHidden/>
              </w:rPr>
              <w:tab/>
            </w:r>
            <w:r w:rsidR="004F6D71">
              <w:rPr>
                <w:noProof/>
                <w:webHidden/>
              </w:rPr>
              <w:fldChar w:fldCharType="begin"/>
            </w:r>
            <w:r w:rsidR="004F6D71">
              <w:rPr>
                <w:noProof/>
                <w:webHidden/>
              </w:rPr>
              <w:instrText xml:space="preserve"> PAGEREF _Toc169709901 \h </w:instrText>
            </w:r>
            <w:r w:rsidR="004F6D71">
              <w:rPr>
                <w:noProof/>
                <w:webHidden/>
              </w:rPr>
            </w:r>
            <w:r w:rsidR="004F6D71">
              <w:rPr>
                <w:noProof/>
                <w:webHidden/>
              </w:rPr>
              <w:fldChar w:fldCharType="separate"/>
            </w:r>
            <w:r w:rsidR="000415B2">
              <w:rPr>
                <w:noProof/>
                <w:webHidden/>
              </w:rPr>
              <w:t>58</w:t>
            </w:r>
            <w:r w:rsidR="004F6D71">
              <w:rPr>
                <w:noProof/>
                <w:webHidden/>
              </w:rPr>
              <w:fldChar w:fldCharType="end"/>
            </w:r>
          </w:hyperlink>
        </w:p>
        <w:p w14:paraId="5E4869A9" w14:textId="3EB03800" w:rsidR="004F6D71" w:rsidRDefault="00000000">
          <w:pPr>
            <w:pStyle w:val="TOC3"/>
            <w:rPr>
              <w:rFonts w:eastAsiaTheme="minorEastAsia"/>
              <w:noProof/>
              <w:kern w:val="2"/>
              <w:sz w:val="24"/>
              <w:szCs w:val="24"/>
              <w:lang w:eastAsia="zh-CN"/>
              <w14:ligatures w14:val="standardContextual"/>
            </w:rPr>
          </w:pPr>
          <w:hyperlink w:anchor="_Toc169709902" w:history="1">
            <w:r w:rsidR="004F6D71" w:rsidRPr="004F4997">
              <w:rPr>
                <w:rStyle w:val="Hyperlink"/>
                <w:b/>
                <w:bCs/>
                <w:noProof/>
              </w:rPr>
              <w:t>C.</w:t>
            </w:r>
            <w:r w:rsidR="004F6D71">
              <w:rPr>
                <w:rFonts w:eastAsiaTheme="minorEastAsia"/>
                <w:noProof/>
                <w:kern w:val="2"/>
                <w:sz w:val="24"/>
                <w:szCs w:val="24"/>
                <w:lang w:eastAsia="zh-CN"/>
                <w14:ligatures w14:val="standardContextual"/>
              </w:rPr>
              <w:tab/>
            </w:r>
            <w:r w:rsidR="004F6D71" w:rsidRPr="004F4997">
              <w:rPr>
                <w:rStyle w:val="Hyperlink"/>
                <w:b/>
                <w:bCs/>
                <w:noProof/>
              </w:rPr>
              <w:t>Stakeholder Participation</w:t>
            </w:r>
            <w:r w:rsidR="004F6D71">
              <w:rPr>
                <w:noProof/>
                <w:webHidden/>
              </w:rPr>
              <w:tab/>
            </w:r>
            <w:r w:rsidR="004F6D71">
              <w:rPr>
                <w:noProof/>
                <w:webHidden/>
              </w:rPr>
              <w:fldChar w:fldCharType="begin"/>
            </w:r>
            <w:r w:rsidR="004F6D71">
              <w:rPr>
                <w:noProof/>
                <w:webHidden/>
              </w:rPr>
              <w:instrText xml:space="preserve"> PAGEREF _Toc169709902 \h </w:instrText>
            </w:r>
            <w:r w:rsidR="004F6D71">
              <w:rPr>
                <w:noProof/>
                <w:webHidden/>
              </w:rPr>
            </w:r>
            <w:r w:rsidR="004F6D71">
              <w:rPr>
                <w:noProof/>
                <w:webHidden/>
              </w:rPr>
              <w:fldChar w:fldCharType="separate"/>
            </w:r>
            <w:r w:rsidR="000415B2">
              <w:rPr>
                <w:noProof/>
                <w:webHidden/>
              </w:rPr>
              <w:t>59</w:t>
            </w:r>
            <w:r w:rsidR="004F6D71">
              <w:rPr>
                <w:noProof/>
                <w:webHidden/>
              </w:rPr>
              <w:fldChar w:fldCharType="end"/>
            </w:r>
          </w:hyperlink>
        </w:p>
        <w:p w14:paraId="1B0A6C50" w14:textId="6DA59A99" w:rsidR="004F6D71" w:rsidRDefault="00000000">
          <w:pPr>
            <w:pStyle w:val="TOC3"/>
            <w:rPr>
              <w:rFonts w:eastAsiaTheme="minorEastAsia"/>
              <w:noProof/>
              <w:kern w:val="2"/>
              <w:sz w:val="24"/>
              <w:szCs w:val="24"/>
              <w:lang w:eastAsia="zh-CN"/>
              <w14:ligatures w14:val="standardContextual"/>
            </w:rPr>
          </w:pPr>
          <w:hyperlink w:anchor="_Toc169709903" w:history="1">
            <w:r w:rsidR="004F6D71" w:rsidRPr="004F4997">
              <w:rPr>
                <w:rStyle w:val="Hyperlink"/>
                <w:b/>
                <w:noProof/>
              </w:rPr>
              <w:t>D.</w:t>
            </w:r>
            <w:r w:rsidR="004F6D71">
              <w:rPr>
                <w:rFonts w:eastAsiaTheme="minorEastAsia"/>
                <w:noProof/>
                <w:kern w:val="2"/>
                <w:sz w:val="24"/>
                <w:szCs w:val="24"/>
                <w:lang w:eastAsia="zh-CN"/>
                <w14:ligatures w14:val="standardContextual"/>
              </w:rPr>
              <w:tab/>
            </w:r>
            <w:r w:rsidR="004F6D71" w:rsidRPr="004F4997">
              <w:rPr>
                <w:rStyle w:val="Hyperlink"/>
                <w:b/>
                <w:noProof/>
              </w:rPr>
              <w:t>CEDAW Action Plan and Timeline</w:t>
            </w:r>
            <w:r w:rsidR="004F6D71">
              <w:rPr>
                <w:noProof/>
                <w:webHidden/>
              </w:rPr>
              <w:tab/>
            </w:r>
            <w:r w:rsidR="004F6D71">
              <w:rPr>
                <w:noProof/>
                <w:webHidden/>
              </w:rPr>
              <w:fldChar w:fldCharType="begin"/>
            </w:r>
            <w:r w:rsidR="004F6D71">
              <w:rPr>
                <w:noProof/>
                <w:webHidden/>
              </w:rPr>
              <w:instrText xml:space="preserve"> PAGEREF _Toc169709903 \h </w:instrText>
            </w:r>
            <w:r w:rsidR="004F6D71">
              <w:rPr>
                <w:noProof/>
                <w:webHidden/>
              </w:rPr>
            </w:r>
            <w:r w:rsidR="004F6D71">
              <w:rPr>
                <w:noProof/>
                <w:webHidden/>
              </w:rPr>
              <w:fldChar w:fldCharType="separate"/>
            </w:r>
            <w:r w:rsidR="000415B2">
              <w:rPr>
                <w:noProof/>
                <w:webHidden/>
              </w:rPr>
              <w:t>59</w:t>
            </w:r>
            <w:r w:rsidR="004F6D71">
              <w:rPr>
                <w:noProof/>
                <w:webHidden/>
              </w:rPr>
              <w:fldChar w:fldCharType="end"/>
            </w:r>
          </w:hyperlink>
        </w:p>
        <w:p w14:paraId="79E9EC76" w14:textId="0AA564A3" w:rsidR="004F6D71" w:rsidRDefault="00000000" w:rsidP="00A62DB5">
          <w:pPr>
            <w:pStyle w:val="TOC1"/>
            <w:rPr>
              <w:rFonts w:eastAsiaTheme="minorEastAsia"/>
              <w:noProof/>
              <w:kern w:val="2"/>
              <w:sz w:val="24"/>
              <w:szCs w:val="24"/>
              <w:lang w:eastAsia="zh-CN"/>
              <w14:ligatures w14:val="standardContextual"/>
            </w:rPr>
          </w:pPr>
          <w:hyperlink w:anchor="_Toc169709904" w:history="1">
            <w:r w:rsidR="004F6D71" w:rsidRPr="004F4997">
              <w:rPr>
                <w:rStyle w:val="Hyperlink"/>
                <w:b/>
                <w:bCs/>
                <w:noProof/>
              </w:rPr>
              <w:t>Section Five: Data and statistics</w:t>
            </w:r>
            <w:r w:rsidR="004F6D71">
              <w:rPr>
                <w:noProof/>
                <w:webHidden/>
              </w:rPr>
              <w:tab/>
            </w:r>
            <w:r w:rsidR="004F6D71">
              <w:rPr>
                <w:noProof/>
                <w:webHidden/>
              </w:rPr>
              <w:fldChar w:fldCharType="begin"/>
            </w:r>
            <w:r w:rsidR="004F6D71">
              <w:rPr>
                <w:noProof/>
                <w:webHidden/>
              </w:rPr>
              <w:instrText xml:space="preserve"> PAGEREF _Toc169709904 \h </w:instrText>
            </w:r>
            <w:r w:rsidR="004F6D71">
              <w:rPr>
                <w:noProof/>
                <w:webHidden/>
              </w:rPr>
            </w:r>
            <w:r w:rsidR="004F6D71">
              <w:rPr>
                <w:noProof/>
                <w:webHidden/>
              </w:rPr>
              <w:fldChar w:fldCharType="separate"/>
            </w:r>
            <w:r w:rsidR="000415B2">
              <w:rPr>
                <w:noProof/>
                <w:webHidden/>
              </w:rPr>
              <w:t>61</w:t>
            </w:r>
            <w:r w:rsidR="004F6D71">
              <w:rPr>
                <w:noProof/>
                <w:webHidden/>
              </w:rPr>
              <w:fldChar w:fldCharType="end"/>
            </w:r>
          </w:hyperlink>
        </w:p>
        <w:p w14:paraId="1E215BF0" w14:textId="0D6C97F8" w:rsidR="004F6D71" w:rsidRDefault="00000000">
          <w:pPr>
            <w:pStyle w:val="TOC3"/>
            <w:rPr>
              <w:rFonts w:eastAsiaTheme="minorEastAsia"/>
              <w:noProof/>
              <w:kern w:val="2"/>
              <w:sz w:val="24"/>
              <w:szCs w:val="24"/>
              <w:lang w:eastAsia="zh-CN"/>
              <w14:ligatures w14:val="standardContextual"/>
            </w:rPr>
          </w:pPr>
          <w:hyperlink w:anchor="_Toc169709905" w:history="1">
            <w:r w:rsidR="004F6D71" w:rsidRPr="004F4997">
              <w:rPr>
                <w:rStyle w:val="Hyperlink"/>
                <w:b/>
                <w:noProof/>
              </w:rPr>
              <w:t>A.</w:t>
            </w:r>
            <w:r w:rsidR="004F6D71">
              <w:rPr>
                <w:rFonts w:eastAsiaTheme="minorEastAsia"/>
                <w:noProof/>
                <w:kern w:val="2"/>
                <w:sz w:val="24"/>
                <w:szCs w:val="24"/>
                <w:lang w:eastAsia="zh-CN"/>
                <w14:ligatures w14:val="standardContextual"/>
              </w:rPr>
              <w:tab/>
            </w:r>
            <w:r w:rsidR="004F6D71" w:rsidRPr="004F4997">
              <w:rPr>
                <w:rStyle w:val="Hyperlink"/>
                <w:b/>
                <w:noProof/>
              </w:rPr>
              <w:t>Progress in Gender Statistics</w:t>
            </w:r>
            <w:r w:rsidR="004F6D71">
              <w:rPr>
                <w:noProof/>
                <w:webHidden/>
              </w:rPr>
              <w:tab/>
            </w:r>
            <w:r w:rsidR="004F6D71">
              <w:rPr>
                <w:noProof/>
                <w:webHidden/>
              </w:rPr>
              <w:fldChar w:fldCharType="begin"/>
            </w:r>
            <w:r w:rsidR="004F6D71">
              <w:rPr>
                <w:noProof/>
                <w:webHidden/>
              </w:rPr>
              <w:instrText xml:space="preserve"> PAGEREF _Toc169709905 \h </w:instrText>
            </w:r>
            <w:r w:rsidR="004F6D71">
              <w:rPr>
                <w:noProof/>
                <w:webHidden/>
              </w:rPr>
            </w:r>
            <w:r w:rsidR="004F6D71">
              <w:rPr>
                <w:noProof/>
                <w:webHidden/>
              </w:rPr>
              <w:fldChar w:fldCharType="separate"/>
            </w:r>
            <w:r w:rsidR="000415B2">
              <w:rPr>
                <w:noProof/>
                <w:webHidden/>
              </w:rPr>
              <w:t>61</w:t>
            </w:r>
            <w:r w:rsidR="004F6D71">
              <w:rPr>
                <w:noProof/>
                <w:webHidden/>
              </w:rPr>
              <w:fldChar w:fldCharType="end"/>
            </w:r>
          </w:hyperlink>
        </w:p>
        <w:p w14:paraId="00D0BD6A" w14:textId="3FD48158" w:rsidR="004F6D71" w:rsidRDefault="00000000">
          <w:pPr>
            <w:pStyle w:val="TOC3"/>
            <w:rPr>
              <w:rFonts w:eastAsiaTheme="minorEastAsia"/>
              <w:noProof/>
              <w:kern w:val="2"/>
              <w:sz w:val="24"/>
              <w:szCs w:val="24"/>
              <w:lang w:eastAsia="zh-CN"/>
              <w14:ligatures w14:val="standardContextual"/>
            </w:rPr>
          </w:pPr>
          <w:hyperlink w:anchor="_Toc169709906" w:history="1">
            <w:r w:rsidR="004F6D71" w:rsidRPr="004F4997">
              <w:rPr>
                <w:rStyle w:val="Hyperlink"/>
                <w:b/>
                <w:noProof/>
              </w:rPr>
              <w:t>B.</w:t>
            </w:r>
            <w:r w:rsidR="004F6D71">
              <w:rPr>
                <w:rFonts w:eastAsiaTheme="minorEastAsia"/>
                <w:noProof/>
                <w:kern w:val="2"/>
                <w:sz w:val="24"/>
                <w:szCs w:val="24"/>
                <w:lang w:eastAsia="zh-CN"/>
                <w14:ligatures w14:val="standardContextual"/>
              </w:rPr>
              <w:tab/>
            </w:r>
            <w:r w:rsidR="004F6D71" w:rsidRPr="004F4997">
              <w:rPr>
                <w:rStyle w:val="Hyperlink"/>
                <w:b/>
                <w:noProof/>
              </w:rPr>
              <w:t>Priorities for Strengthening National Gender Statistics Over Next Five Years</w:t>
            </w:r>
            <w:r w:rsidR="004F6D71">
              <w:rPr>
                <w:noProof/>
                <w:webHidden/>
              </w:rPr>
              <w:tab/>
            </w:r>
            <w:r w:rsidR="004F6D71">
              <w:rPr>
                <w:noProof/>
                <w:webHidden/>
              </w:rPr>
              <w:fldChar w:fldCharType="begin"/>
            </w:r>
            <w:r w:rsidR="004F6D71">
              <w:rPr>
                <w:noProof/>
                <w:webHidden/>
              </w:rPr>
              <w:instrText xml:space="preserve"> PAGEREF _Toc169709906 \h </w:instrText>
            </w:r>
            <w:r w:rsidR="004F6D71">
              <w:rPr>
                <w:noProof/>
                <w:webHidden/>
              </w:rPr>
            </w:r>
            <w:r w:rsidR="004F6D71">
              <w:rPr>
                <w:noProof/>
                <w:webHidden/>
              </w:rPr>
              <w:fldChar w:fldCharType="separate"/>
            </w:r>
            <w:r w:rsidR="000415B2">
              <w:rPr>
                <w:noProof/>
                <w:webHidden/>
              </w:rPr>
              <w:t>61</w:t>
            </w:r>
            <w:r w:rsidR="004F6D71">
              <w:rPr>
                <w:noProof/>
                <w:webHidden/>
              </w:rPr>
              <w:fldChar w:fldCharType="end"/>
            </w:r>
          </w:hyperlink>
        </w:p>
        <w:p w14:paraId="62FF39F6" w14:textId="0FD412F9" w:rsidR="004F6D71" w:rsidRDefault="00000000">
          <w:pPr>
            <w:pStyle w:val="TOC3"/>
            <w:rPr>
              <w:rFonts w:eastAsiaTheme="minorEastAsia"/>
              <w:noProof/>
              <w:kern w:val="2"/>
              <w:sz w:val="24"/>
              <w:szCs w:val="24"/>
              <w:lang w:eastAsia="zh-CN"/>
              <w14:ligatures w14:val="standardContextual"/>
            </w:rPr>
          </w:pPr>
          <w:hyperlink w:anchor="_Toc169709907" w:history="1">
            <w:r w:rsidR="004F6D71" w:rsidRPr="004F4997">
              <w:rPr>
                <w:rStyle w:val="Hyperlink"/>
                <w:b/>
                <w:noProof/>
              </w:rPr>
              <w:t>C.</w:t>
            </w:r>
            <w:r w:rsidR="004F6D71">
              <w:rPr>
                <w:rFonts w:eastAsiaTheme="minorEastAsia"/>
                <w:noProof/>
                <w:kern w:val="2"/>
                <w:sz w:val="24"/>
                <w:szCs w:val="24"/>
                <w:lang w:eastAsia="zh-CN"/>
                <w14:ligatures w14:val="standardContextual"/>
              </w:rPr>
              <w:tab/>
            </w:r>
            <w:r w:rsidR="004F6D71" w:rsidRPr="004F4997">
              <w:rPr>
                <w:rStyle w:val="Hyperlink"/>
                <w:b/>
                <w:noProof/>
              </w:rPr>
              <w:t>Gender-Specific Indicators that Singapore Prioritised for Monitoring Progress on SDGs</w:t>
            </w:r>
            <w:r w:rsidR="004F6D71">
              <w:rPr>
                <w:noProof/>
                <w:webHidden/>
              </w:rPr>
              <w:tab/>
            </w:r>
            <w:r w:rsidR="004F6D71">
              <w:rPr>
                <w:noProof/>
                <w:webHidden/>
              </w:rPr>
              <w:fldChar w:fldCharType="begin"/>
            </w:r>
            <w:r w:rsidR="004F6D71">
              <w:rPr>
                <w:noProof/>
                <w:webHidden/>
              </w:rPr>
              <w:instrText xml:space="preserve"> PAGEREF _Toc169709907 \h </w:instrText>
            </w:r>
            <w:r w:rsidR="004F6D71">
              <w:rPr>
                <w:noProof/>
                <w:webHidden/>
              </w:rPr>
            </w:r>
            <w:r w:rsidR="004F6D71">
              <w:rPr>
                <w:noProof/>
                <w:webHidden/>
              </w:rPr>
              <w:fldChar w:fldCharType="separate"/>
            </w:r>
            <w:r w:rsidR="000415B2">
              <w:rPr>
                <w:noProof/>
                <w:webHidden/>
              </w:rPr>
              <w:t>61</w:t>
            </w:r>
            <w:r w:rsidR="004F6D71">
              <w:rPr>
                <w:noProof/>
                <w:webHidden/>
              </w:rPr>
              <w:fldChar w:fldCharType="end"/>
            </w:r>
          </w:hyperlink>
        </w:p>
        <w:p w14:paraId="745F83E2" w14:textId="53DC4F8A" w:rsidR="004F6D71" w:rsidRDefault="00000000">
          <w:pPr>
            <w:pStyle w:val="TOC3"/>
            <w:rPr>
              <w:rFonts w:eastAsiaTheme="minorEastAsia"/>
              <w:noProof/>
              <w:kern w:val="2"/>
              <w:sz w:val="24"/>
              <w:szCs w:val="24"/>
              <w:lang w:eastAsia="zh-CN"/>
              <w14:ligatures w14:val="standardContextual"/>
            </w:rPr>
          </w:pPr>
          <w:hyperlink w:anchor="_Toc169709908" w:history="1">
            <w:r w:rsidR="004F6D71" w:rsidRPr="004F4997">
              <w:rPr>
                <w:rStyle w:val="Hyperlink"/>
                <w:b/>
                <w:bCs/>
                <w:noProof/>
              </w:rPr>
              <w:t>D.</w:t>
            </w:r>
            <w:r w:rsidR="004F6D71">
              <w:rPr>
                <w:rFonts w:eastAsiaTheme="minorEastAsia"/>
                <w:noProof/>
                <w:kern w:val="2"/>
                <w:sz w:val="24"/>
                <w:szCs w:val="24"/>
                <w:lang w:eastAsia="zh-CN"/>
                <w14:ligatures w14:val="standardContextual"/>
              </w:rPr>
              <w:tab/>
            </w:r>
            <w:r w:rsidR="004F6D71" w:rsidRPr="004F4997">
              <w:rPr>
                <w:rStyle w:val="Hyperlink"/>
                <w:b/>
                <w:bCs/>
                <w:noProof/>
              </w:rPr>
              <w:t>Data Disaggregation in Major Surveys in Singapore</w:t>
            </w:r>
            <w:r w:rsidR="004F6D71">
              <w:rPr>
                <w:noProof/>
                <w:webHidden/>
              </w:rPr>
              <w:tab/>
            </w:r>
            <w:r w:rsidR="004F6D71">
              <w:rPr>
                <w:noProof/>
                <w:webHidden/>
              </w:rPr>
              <w:fldChar w:fldCharType="begin"/>
            </w:r>
            <w:r w:rsidR="004F6D71">
              <w:rPr>
                <w:noProof/>
                <w:webHidden/>
              </w:rPr>
              <w:instrText xml:space="preserve"> PAGEREF _Toc169709908 \h </w:instrText>
            </w:r>
            <w:r w:rsidR="004F6D71">
              <w:rPr>
                <w:noProof/>
                <w:webHidden/>
              </w:rPr>
            </w:r>
            <w:r w:rsidR="004F6D71">
              <w:rPr>
                <w:noProof/>
                <w:webHidden/>
              </w:rPr>
              <w:fldChar w:fldCharType="separate"/>
            </w:r>
            <w:r w:rsidR="000415B2">
              <w:rPr>
                <w:noProof/>
                <w:webHidden/>
              </w:rPr>
              <w:t>62</w:t>
            </w:r>
            <w:r w:rsidR="004F6D71">
              <w:rPr>
                <w:noProof/>
                <w:webHidden/>
              </w:rPr>
              <w:fldChar w:fldCharType="end"/>
            </w:r>
          </w:hyperlink>
        </w:p>
        <w:p w14:paraId="0F536187" w14:textId="636329D6" w:rsidR="004F6D71" w:rsidRDefault="00000000" w:rsidP="00A62DB5">
          <w:pPr>
            <w:pStyle w:val="TOC1"/>
            <w:rPr>
              <w:rFonts w:eastAsiaTheme="minorEastAsia"/>
              <w:noProof/>
              <w:kern w:val="2"/>
              <w:sz w:val="24"/>
              <w:szCs w:val="24"/>
              <w:lang w:eastAsia="zh-CN"/>
              <w14:ligatures w14:val="standardContextual"/>
            </w:rPr>
          </w:pPr>
          <w:hyperlink w:anchor="_Toc169709909" w:history="1">
            <w:r w:rsidR="004F6D71" w:rsidRPr="004F4997">
              <w:rPr>
                <w:rStyle w:val="Hyperlink"/>
                <w:b/>
                <w:bCs/>
                <w:noProof/>
              </w:rPr>
              <w:t>Section Six: Conclusion and next steps</w:t>
            </w:r>
            <w:r w:rsidR="004F6D71">
              <w:rPr>
                <w:noProof/>
                <w:webHidden/>
              </w:rPr>
              <w:tab/>
            </w:r>
            <w:r w:rsidR="004F6D71">
              <w:rPr>
                <w:noProof/>
                <w:webHidden/>
              </w:rPr>
              <w:fldChar w:fldCharType="begin"/>
            </w:r>
            <w:r w:rsidR="004F6D71">
              <w:rPr>
                <w:noProof/>
                <w:webHidden/>
              </w:rPr>
              <w:instrText xml:space="preserve"> PAGEREF _Toc169709909 \h </w:instrText>
            </w:r>
            <w:r w:rsidR="004F6D71">
              <w:rPr>
                <w:noProof/>
                <w:webHidden/>
              </w:rPr>
            </w:r>
            <w:r w:rsidR="004F6D71">
              <w:rPr>
                <w:noProof/>
                <w:webHidden/>
              </w:rPr>
              <w:fldChar w:fldCharType="separate"/>
            </w:r>
            <w:r w:rsidR="000415B2">
              <w:rPr>
                <w:noProof/>
                <w:webHidden/>
              </w:rPr>
              <w:t>63</w:t>
            </w:r>
            <w:r w:rsidR="004F6D71">
              <w:rPr>
                <w:noProof/>
                <w:webHidden/>
              </w:rPr>
              <w:fldChar w:fldCharType="end"/>
            </w:r>
          </w:hyperlink>
        </w:p>
        <w:p w14:paraId="36FE7E7F" w14:textId="0CD1253A" w:rsidR="00EA1097" w:rsidRDefault="00EA1097">
          <w:r>
            <w:rPr>
              <w:b/>
              <w:bCs/>
              <w:noProof/>
            </w:rPr>
            <w:fldChar w:fldCharType="end"/>
          </w:r>
        </w:p>
      </w:sdtContent>
    </w:sdt>
    <w:p w14:paraId="62B39C07" w14:textId="77777777" w:rsidR="00EA1097" w:rsidRDefault="00EA1097" w:rsidP="2352DAB0"/>
    <w:p w14:paraId="74B05761" w14:textId="7120A76E" w:rsidR="00EA1097" w:rsidRDefault="00EA1097">
      <w:pPr>
        <w:spacing w:line="259" w:lineRule="auto"/>
      </w:pPr>
      <w:r>
        <w:br w:type="page"/>
      </w:r>
    </w:p>
    <w:p w14:paraId="50D4DBFD" w14:textId="7C2541EA" w:rsidR="61D1E709" w:rsidRPr="00346A47" w:rsidRDefault="61D1E709" w:rsidP="00EA1097">
      <w:pPr>
        <w:pStyle w:val="Heading1"/>
        <w:rPr>
          <w:b/>
          <w:bCs/>
          <w:sz w:val="40"/>
          <w:szCs w:val="40"/>
          <w:u w:val="single"/>
        </w:rPr>
      </w:pPr>
      <w:bookmarkStart w:id="1" w:name="_Toc169709864"/>
      <w:r w:rsidRPr="00346A47">
        <w:rPr>
          <w:b/>
          <w:bCs/>
          <w:sz w:val="40"/>
          <w:szCs w:val="40"/>
          <w:u w:val="single"/>
        </w:rPr>
        <w:lastRenderedPageBreak/>
        <w:t xml:space="preserve">Section One: </w:t>
      </w:r>
      <w:r w:rsidR="606FF51E" w:rsidRPr="00346A47">
        <w:rPr>
          <w:b/>
          <w:bCs/>
          <w:sz w:val="40"/>
          <w:szCs w:val="40"/>
          <w:u w:val="single"/>
        </w:rPr>
        <w:t>Highlights</w:t>
      </w:r>
      <w:bookmarkEnd w:id="1"/>
      <w:r w:rsidR="0089587E" w:rsidRPr="00346A47">
        <w:rPr>
          <w:b/>
          <w:bCs/>
          <w:sz w:val="40"/>
          <w:szCs w:val="40"/>
          <w:u w:val="single"/>
        </w:rPr>
        <w:t xml:space="preserve"> </w:t>
      </w:r>
    </w:p>
    <w:p w14:paraId="2E742FB2" w14:textId="77777777" w:rsidR="006B1AF4" w:rsidRDefault="006B1AF4" w:rsidP="006B1AF4">
      <w:pPr>
        <w:pStyle w:val="ListParagraph"/>
        <w:ind w:left="360"/>
      </w:pPr>
    </w:p>
    <w:p w14:paraId="494712FA" w14:textId="41D7F5B1" w:rsidR="00C82C24" w:rsidRDefault="00E26DDE" w:rsidP="009624AF">
      <w:pPr>
        <w:pStyle w:val="ListParagraph"/>
        <w:ind w:left="0"/>
        <w:jc w:val="both"/>
      </w:pPr>
      <w:r>
        <w:t>Singapore</w:t>
      </w:r>
      <w:r w:rsidRPr="00E26DDE">
        <w:t xml:space="preserve"> is committed to </w:t>
      </w:r>
      <w:r w:rsidR="00244332">
        <w:t xml:space="preserve">ensuring that women remain integral and equal members of our society. </w:t>
      </w:r>
      <w:r w:rsidR="00F07942">
        <w:t xml:space="preserve">Gender equality in Singapore is founded on the principle of equal opportunities for </w:t>
      </w:r>
      <w:r w:rsidR="00756C1E">
        <w:t>wo</w:t>
      </w:r>
      <w:r w:rsidR="00F07942">
        <w:t xml:space="preserve">men and men </w:t>
      </w:r>
      <w:r w:rsidR="0022225E">
        <w:t>based on</w:t>
      </w:r>
      <w:r w:rsidR="00F07942">
        <w:t xml:space="preserve"> meritocracy. Ensuring that both </w:t>
      </w:r>
      <w:r w:rsidR="00756C1E">
        <w:t>wo</w:t>
      </w:r>
      <w:r w:rsidR="00F07942">
        <w:t>men and men have access to fundamental resources, such as education</w:t>
      </w:r>
      <w:r w:rsidR="005577DA">
        <w:t xml:space="preserve"> and healthcare, </w:t>
      </w:r>
      <w:r w:rsidR="002115AD">
        <w:t xml:space="preserve">all citizens </w:t>
      </w:r>
      <w:r w:rsidR="00913561">
        <w:t xml:space="preserve">are provided </w:t>
      </w:r>
      <w:r w:rsidR="004C5E37">
        <w:t>equal opportunities to pursue their goals across differences spheres in society.</w:t>
      </w:r>
      <w:r w:rsidR="009624AF">
        <w:t xml:space="preserve">  </w:t>
      </w:r>
    </w:p>
    <w:p w14:paraId="79DB0439" w14:textId="77777777" w:rsidR="00E26DDE" w:rsidRDefault="00E26DDE" w:rsidP="00570F26">
      <w:pPr>
        <w:pStyle w:val="ListParagraph"/>
        <w:ind w:left="0"/>
      </w:pPr>
    </w:p>
    <w:p w14:paraId="523CA174" w14:textId="172F1259" w:rsidR="00447A3D" w:rsidRDefault="00C05952" w:rsidP="00930DDE">
      <w:pPr>
        <w:pStyle w:val="ListParagraph"/>
        <w:ind w:left="0"/>
        <w:jc w:val="both"/>
      </w:pPr>
      <w:r>
        <w:t>Over the last five years, renewed efforts were made to advance and empower women in Singapore.</w:t>
      </w:r>
      <w:r w:rsidR="0098729E">
        <w:t xml:space="preserve"> </w:t>
      </w:r>
      <w:r w:rsidR="004E4BD6">
        <w:t xml:space="preserve">In 2020, the Government launched </w:t>
      </w:r>
      <w:r w:rsidR="0085701D">
        <w:t>a year-long</w:t>
      </w:r>
      <w:r w:rsidR="00A06ACB">
        <w:t xml:space="preserve"> nationwide Conversations on </w:t>
      </w:r>
      <w:r w:rsidR="000E75D3">
        <w:t>Singapore Women’s Development</w:t>
      </w:r>
      <w:r w:rsidR="00C15D0C">
        <w:t xml:space="preserve"> where we</w:t>
      </w:r>
      <w:r w:rsidR="006A645C">
        <w:t xml:space="preserve"> consulted close to 6,000 Singaporeans </w:t>
      </w:r>
      <w:r w:rsidR="001E78B5">
        <w:t>from all walks of life</w:t>
      </w:r>
      <w:r w:rsidR="00DA0144">
        <w:t xml:space="preserve">. </w:t>
      </w:r>
      <w:r w:rsidR="0098729E">
        <w:t xml:space="preserve">2021 was dedicated as the Year of Celebrating SG Women </w:t>
      </w:r>
      <w:r w:rsidR="0098729E" w:rsidRPr="005A34F2">
        <w:t>to celebrate the pioneering spirit of Singapore women, their achievements and contributions to our nation</w:t>
      </w:r>
      <w:r w:rsidR="0098729E">
        <w:t xml:space="preserve">. </w:t>
      </w:r>
      <w:r w:rsidR="004028CC">
        <w:t>In 2022, t</w:t>
      </w:r>
      <w:r w:rsidR="00BB45A5">
        <w:t xml:space="preserve">he White Paper on Singapore Women’s Development was published, which was shaped by </w:t>
      </w:r>
      <w:r w:rsidR="00082CBA">
        <w:t>feedback from the</w:t>
      </w:r>
      <w:r w:rsidR="00BB45A5">
        <w:t xml:space="preserve"> Conversations </w:t>
      </w:r>
      <w:r w:rsidR="004028CC">
        <w:t xml:space="preserve">and </w:t>
      </w:r>
      <w:r w:rsidR="00A3305C">
        <w:t>serves as a 10-year roadmap</w:t>
      </w:r>
      <w:r w:rsidR="00D452E6">
        <w:t xml:space="preserve"> outlining</w:t>
      </w:r>
      <w:r w:rsidR="004028CC">
        <w:t xml:space="preserve"> </w:t>
      </w:r>
      <w:r w:rsidR="009D0966">
        <w:t>25 collective action plans</w:t>
      </w:r>
      <w:r w:rsidR="004028CC">
        <w:t xml:space="preserve"> towards a fairer and more inclusive society</w:t>
      </w:r>
      <w:r w:rsidR="00BB45A5">
        <w:t>.</w:t>
      </w:r>
      <w:r w:rsidR="00D452E6">
        <w:t xml:space="preserve"> </w:t>
      </w:r>
    </w:p>
    <w:p w14:paraId="43E0923F" w14:textId="32750022" w:rsidR="00C05952" w:rsidRDefault="00C05952" w:rsidP="006B1AF4">
      <w:pPr>
        <w:pStyle w:val="ListParagraph"/>
        <w:ind w:left="0"/>
      </w:pPr>
    </w:p>
    <w:p w14:paraId="3BB68CB6" w14:textId="087BF935" w:rsidR="00220461" w:rsidRDefault="00220461" w:rsidP="00220461">
      <w:pPr>
        <w:pStyle w:val="ListParagraph"/>
        <w:ind w:left="0"/>
        <w:jc w:val="both"/>
      </w:pPr>
      <w:r>
        <w:t xml:space="preserve">As part of Singapore’s commitment to implement the Beijing Declaration and Platform for Action (BDPA), we continue to adopt a practical and outcomes-based approach to chart our progress in the 12 areas </w:t>
      </w:r>
      <w:r w:rsidR="00586B1F">
        <w:t>identified by the BDPA</w:t>
      </w:r>
      <w:r w:rsidR="0046137B">
        <w:rPr>
          <w:rStyle w:val="FootnoteReference"/>
        </w:rPr>
        <w:footnoteReference w:id="2"/>
      </w:r>
      <w:r w:rsidR="00B56F82">
        <w:t>.</w:t>
      </w:r>
      <w:r>
        <w:t xml:space="preserve"> </w:t>
      </w:r>
    </w:p>
    <w:p w14:paraId="5CE1D378" w14:textId="77777777" w:rsidR="00C05952" w:rsidRDefault="00C05952" w:rsidP="006B1AF4">
      <w:pPr>
        <w:pStyle w:val="ListParagraph"/>
        <w:ind w:left="0"/>
      </w:pPr>
    </w:p>
    <w:p w14:paraId="1B17B97F" w14:textId="40B74667" w:rsidR="009C354D" w:rsidRDefault="00A16B05" w:rsidP="00B74964">
      <w:pPr>
        <w:pStyle w:val="ListParagraph"/>
        <w:ind w:left="0"/>
        <w:jc w:val="both"/>
      </w:pPr>
      <w:r>
        <w:t xml:space="preserve">In alignment with </w:t>
      </w:r>
      <w:r w:rsidR="007A3DB8">
        <w:t>these 12</w:t>
      </w:r>
      <w:r w:rsidR="007A3DB8" w:rsidDel="00930DDE">
        <w:t xml:space="preserve"> </w:t>
      </w:r>
      <w:r w:rsidR="007A3DB8">
        <w:t xml:space="preserve">areas, Singapore has identified five key areas of focus around women’s development which were </w:t>
      </w:r>
      <w:r w:rsidR="001666E2">
        <w:t xml:space="preserve">highlighted in the </w:t>
      </w:r>
      <w:r w:rsidR="003112F3">
        <w:t xml:space="preserve">White Paper, namely </w:t>
      </w:r>
      <w:r w:rsidR="004717C2">
        <w:t>ensuring equal opportunities in the workplace</w:t>
      </w:r>
      <w:r w:rsidR="003E1F21">
        <w:t>,</w:t>
      </w:r>
      <w:r w:rsidR="004717C2">
        <w:t xml:space="preserve"> recognition and support for caregivers</w:t>
      </w:r>
      <w:r w:rsidR="003E1F21">
        <w:t>,</w:t>
      </w:r>
      <w:r w:rsidR="004717C2">
        <w:t xml:space="preserve"> protection against violence and harm</w:t>
      </w:r>
      <w:r w:rsidR="003E1F21">
        <w:t>,</w:t>
      </w:r>
      <w:r w:rsidR="004717C2">
        <w:t xml:space="preserve"> other support measures for women</w:t>
      </w:r>
      <w:r w:rsidR="0011532F">
        <w:t>,</w:t>
      </w:r>
      <w:r w:rsidR="004717C2">
        <w:t xml:space="preserve"> and mindset shifts. </w:t>
      </w:r>
      <w:r w:rsidR="00D452E6" w:rsidRPr="006F196B">
        <w:rPr>
          <w:rFonts w:ascii="Calibri" w:hAnsi="Calibri" w:cs="Calibri"/>
          <w:bCs/>
        </w:rPr>
        <w:t xml:space="preserve">Steady progress is being made in the implementation of </w:t>
      </w:r>
      <w:r w:rsidR="00FF207C">
        <w:rPr>
          <w:rFonts w:ascii="Calibri" w:hAnsi="Calibri" w:cs="Calibri"/>
          <w:bCs/>
        </w:rPr>
        <w:t>the</w:t>
      </w:r>
      <w:r w:rsidR="00D452E6" w:rsidRPr="006F196B">
        <w:rPr>
          <w:rFonts w:ascii="Calibri" w:hAnsi="Calibri" w:cs="Calibri"/>
          <w:bCs/>
        </w:rPr>
        <w:t xml:space="preserve"> </w:t>
      </w:r>
      <w:r w:rsidR="003F3E63">
        <w:rPr>
          <w:rFonts w:ascii="Calibri" w:hAnsi="Calibri" w:cs="Calibri"/>
          <w:bCs/>
        </w:rPr>
        <w:t xml:space="preserve">25 </w:t>
      </w:r>
      <w:r w:rsidR="00D452E6" w:rsidRPr="006F196B">
        <w:rPr>
          <w:rFonts w:ascii="Calibri" w:hAnsi="Calibri" w:cs="Calibri"/>
          <w:bCs/>
        </w:rPr>
        <w:t>action plans</w:t>
      </w:r>
      <w:r w:rsidR="008C203B">
        <w:rPr>
          <w:rFonts w:ascii="Calibri" w:hAnsi="Calibri" w:cs="Calibri"/>
          <w:bCs/>
        </w:rPr>
        <w:t xml:space="preserve"> </w:t>
      </w:r>
      <w:r w:rsidR="00E86684">
        <w:rPr>
          <w:rFonts w:ascii="Calibri" w:hAnsi="Calibri" w:cs="Calibri"/>
          <w:bCs/>
        </w:rPr>
        <w:t>in the</w:t>
      </w:r>
      <w:r w:rsidR="0098133B">
        <w:rPr>
          <w:rFonts w:ascii="Calibri" w:hAnsi="Calibri" w:cs="Calibri"/>
          <w:bCs/>
        </w:rPr>
        <w:t xml:space="preserve"> </w:t>
      </w:r>
      <w:r w:rsidR="005F1E73">
        <w:rPr>
          <w:rFonts w:ascii="Calibri" w:hAnsi="Calibri" w:cs="Calibri"/>
          <w:bCs/>
        </w:rPr>
        <w:t>5 key areas</w:t>
      </w:r>
      <w:r w:rsidR="00536221">
        <w:rPr>
          <w:rFonts w:ascii="Calibri" w:hAnsi="Calibri" w:cs="Calibri"/>
          <w:bCs/>
        </w:rPr>
        <w:t xml:space="preserve"> </w:t>
      </w:r>
      <w:r w:rsidR="008C203B">
        <w:rPr>
          <w:rFonts w:ascii="Calibri" w:hAnsi="Calibri" w:cs="Calibri"/>
          <w:bCs/>
        </w:rPr>
        <w:t>laid out in the White Paper</w:t>
      </w:r>
      <w:r w:rsidR="00D452E6" w:rsidRPr="006F196B">
        <w:rPr>
          <w:rFonts w:ascii="Calibri" w:hAnsi="Calibri" w:cs="Calibri"/>
          <w:bCs/>
        </w:rPr>
        <w:t>, and the Government will undertake a mid-point review in 2027.</w:t>
      </w:r>
      <w:r w:rsidR="00D452E6" w:rsidRPr="006F196B">
        <w:rPr>
          <w:rFonts w:ascii="Arial" w:hAnsi="Arial" w:cs="Arial"/>
          <w:bCs/>
          <w:sz w:val="24"/>
          <w:szCs w:val="24"/>
        </w:rPr>
        <w:t xml:space="preserve">  </w:t>
      </w:r>
    </w:p>
    <w:p w14:paraId="2A002ACF" w14:textId="51C3298E" w:rsidR="000A3C87" w:rsidRDefault="00F444A5" w:rsidP="00B74964">
      <w:pPr>
        <w:pStyle w:val="ListParagraph"/>
        <w:ind w:left="0"/>
        <w:jc w:val="both"/>
      </w:pPr>
      <w:r>
        <w:t xml:space="preserve"> </w:t>
      </w:r>
    </w:p>
    <w:p w14:paraId="23053646" w14:textId="3C3B2A65" w:rsidR="0059612D" w:rsidRPr="0059612D" w:rsidRDefault="0059612D" w:rsidP="00ED336D">
      <w:pPr>
        <w:pStyle w:val="ListParagraph"/>
        <w:ind w:left="0"/>
        <w:jc w:val="both"/>
      </w:pPr>
      <w:r w:rsidRPr="0059612D">
        <w:t xml:space="preserve">The Government will continue to strengthen the ethos of fairness and justice in our society – where </w:t>
      </w:r>
      <w:r w:rsidR="002B42A3">
        <w:t>wo</w:t>
      </w:r>
      <w:r w:rsidRPr="0059612D">
        <w:t>men and men partner each other as equals, progress together and pursue their aspirations freely and to the fullest. We will continue to work with individuals and other stakeholders to advance women’s progress in Singapore, and to build a fair and inclusive society.</w:t>
      </w:r>
    </w:p>
    <w:p w14:paraId="72CCABC0" w14:textId="638D008A" w:rsidR="00665DB4" w:rsidRPr="0046137B" w:rsidRDefault="00665DB4" w:rsidP="0046137B">
      <w:pPr>
        <w:pStyle w:val="ListParagraph"/>
        <w:ind w:left="0"/>
      </w:pPr>
    </w:p>
    <w:p w14:paraId="5129AA7E" w14:textId="77777777" w:rsidR="00001C24" w:rsidRDefault="00001C24" w:rsidP="0046137B">
      <w:pPr>
        <w:pStyle w:val="ListParagraph"/>
        <w:ind w:left="0"/>
      </w:pPr>
    </w:p>
    <w:p w14:paraId="400C3090" w14:textId="77777777" w:rsidR="00001C24" w:rsidRPr="0046137B" w:rsidRDefault="00001C24" w:rsidP="0046137B">
      <w:pPr>
        <w:pStyle w:val="ListParagraph"/>
        <w:ind w:left="0"/>
      </w:pPr>
    </w:p>
    <w:p w14:paraId="2477A302" w14:textId="5107935E" w:rsidR="004841F5" w:rsidRPr="00CF2B6B" w:rsidRDefault="38A06FE5" w:rsidP="00CF2B6B">
      <w:pPr>
        <w:pStyle w:val="Heading1"/>
        <w:rPr>
          <w:b/>
          <w:bCs/>
          <w:sz w:val="40"/>
          <w:szCs w:val="40"/>
          <w:u w:val="single"/>
        </w:rPr>
      </w:pPr>
      <w:bookmarkStart w:id="2" w:name="_Toc169709865"/>
      <w:r w:rsidRPr="00346A47">
        <w:rPr>
          <w:b/>
          <w:bCs/>
          <w:sz w:val="40"/>
          <w:szCs w:val="40"/>
          <w:u w:val="single"/>
        </w:rPr>
        <w:lastRenderedPageBreak/>
        <w:t xml:space="preserve">Section Two: </w:t>
      </w:r>
      <w:r w:rsidR="007D32D0">
        <w:rPr>
          <w:b/>
          <w:bCs/>
          <w:sz w:val="40"/>
          <w:szCs w:val="40"/>
          <w:u w:val="single"/>
        </w:rPr>
        <w:t>P</w:t>
      </w:r>
      <w:r w:rsidR="6B47BC25" w:rsidRPr="00346A47">
        <w:rPr>
          <w:b/>
          <w:bCs/>
          <w:sz w:val="40"/>
          <w:szCs w:val="40"/>
          <w:u w:val="single"/>
        </w:rPr>
        <w:t>riorities, achievements, challenges</w:t>
      </w:r>
      <w:r w:rsidR="1431277E" w:rsidRPr="00346A47">
        <w:rPr>
          <w:b/>
          <w:bCs/>
          <w:sz w:val="40"/>
          <w:szCs w:val="40"/>
          <w:u w:val="single"/>
        </w:rPr>
        <w:t xml:space="preserve"> and setbacks</w:t>
      </w:r>
      <w:bookmarkEnd w:id="2"/>
    </w:p>
    <w:p w14:paraId="1FBA1ED4" w14:textId="2CD86D9F" w:rsidR="00572765" w:rsidRPr="00CA3F2A" w:rsidRDefault="008F6D40" w:rsidP="00AB2196">
      <w:pPr>
        <w:tabs>
          <w:tab w:val="left" w:pos="8178"/>
        </w:tabs>
        <w:jc w:val="both"/>
      </w:pPr>
      <w:r w:rsidRPr="008F6D40">
        <w:t>Singapore has continued to make progress in women’s development, maintaining strong international rankings on gender equality, and sustained improvements in health and education outcomes.</w:t>
      </w:r>
      <w:r w:rsidR="006C2232">
        <w:t xml:space="preserve"> </w:t>
      </w:r>
      <w:r w:rsidR="006C2232">
        <w:rPr>
          <w:b/>
          <w:bCs/>
        </w:rPr>
        <w:t xml:space="preserve"> </w:t>
      </w:r>
    </w:p>
    <w:p w14:paraId="05407B64" w14:textId="6BA3796C" w:rsidR="00CF2B6B" w:rsidRPr="00AB2196" w:rsidRDefault="009D05E0" w:rsidP="0045392A">
      <w:pPr>
        <w:pStyle w:val="Heading2"/>
        <w:numPr>
          <w:ilvl w:val="0"/>
          <w:numId w:val="45"/>
        </w:numPr>
        <w:rPr>
          <w:b/>
          <w:u w:val="single"/>
        </w:rPr>
      </w:pPr>
      <w:bookmarkStart w:id="3" w:name="_Toc169709866"/>
      <w:r w:rsidRPr="00AB2196">
        <w:rPr>
          <w:b/>
          <w:u w:val="single"/>
        </w:rPr>
        <w:t>Increased Women’s Participation in the Labour Force</w:t>
      </w:r>
      <w:bookmarkEnd w:id="3"/>
      <w:r w:rsidRPr="00AB2196">
        <w:rPr>
          <w:b/>
          <w:u w:val="single"/>
        </w:rPr>
        <w:t xml:space="preserve"> </w:t>
      </w:r>
    </w:p>
    <w:p w14:paraId="25B67944" w14:textId="04FA01E0" w:rsidR="009D05E0" w:rsidRDefault="000B59D4" w:rsidP="006C2232">
      <w:pPr>
        <w:jc w:val="both"/>
      </w:pPr>
      <w:r>
        <w:br/>
      </w:r>
      <w:r w:rsidR="002A5623">
        <w:t>In</w:t>
      </w:r>
      <w:r w:rsidR="00AA022B">
        <w:t xml:space="preserve"> recent years, Singapo</w:t>
      </w:r>
      <w:r w:rsidR="00E84659">
        <w:t xml:space="preserve">re women have made great strides </w:t>
      </w:r>
      <w:r w:rsidR="006609DB">
        <w:t xml:space="preserve">in the labour force and enjoy equal opportunities in the workplace. </w:t>
      </w:r>
      <w:r w:rsidR="00D1652B">
        <w:t xml:space="preserve">The </w:t>
      </w:r>
      <w:r w:rsidR="00F84DFE">
        <w:t>G</w:t>
      </w:r>
      <w:r w:rsidR="00D1652B">
        <w:t>overnment</w:t>
      </w:r>
      <w:r w:rsidR="00DF0E9E">
        <w:t xml:space="preserve"> </w:t>
      </w:r>
      <w:r w:rsidR="00261BF4">
        <w:t xml:space="preserve">introduced </w:t>
      </w:r>
      <w:r w:rsidR="00DF0E9E">
        <w:t>initiatives</w:t>
      </w:r>
      <w:r w:rsidR="00FD4DE5">
        <w:t xml:space="preserve"> </w:t>
      </w:r>
      <w:r w:rsidR="00AE0107">
        <w:t>to encourage family-friendly workplace practices</w:t>
      </w:r>
      <w:r w:rsidR="00D1652B">
        <w:t xml:space="preserve"> such as </w:t>
      </w:r>
      <w:r w:rsidR="00A14015">
        <w:t xml:space="preserve">Flexible Work Arrangements (FWAs) </w:t>
      </w:r>
      <w:r w:rsidR="004724AD">
        <w:t xml:space="preserve">to enable women to participate in the economy more fully. </w:t>
      </w:r>
      <w:r w:rsidR="007D3AE9">
        <w:t xml:space="preserve">Resident </w:t>
      </w:r>
      <w:r w:rsidR="00886737">
        <w:t>employment rate</w:t>
      </w:r>
      <w:r w:rsidR="0077021B">
        <w:t xml:space="preserve"> </w:t>
      </w:r>
      <w:r w:rsidR="007D3AE9">
        <w:t xml:space="preserve">for women aged 25-64 </w:t>
      </w:r>
      <w:r w:rsidR="0077021B">
        <w:t xml:space="preserve">has increased from </w:t>
      </w:r>
      <w:r w:rsidR="007D3AE9">
        <w:t>72.3%</w:t>
      </w:r>
      <w:r w:rsidR="00842916">
        <w:t xml:space="preserve"> in </w:t>
      </w:r>
      <w:r w:rsidR="007D3AE9">
        <w:t xml:space="preserve">2018 </w:t>
      </w:r>
      <w:r w:rsidR="00842916">
        <w:t xml:space="preserve">to </w:t>
      </w:r>
      <w:r w:rsidR="0092752F">
        <w:t>76.6%</w:t>
      </w:r>
      <w:r w:rsidR="002E2515">
        <w:t xml:space="preserve"> in 2023</w:t>
      </w:r>
      <w:r w:rsidR="0091208F">
        <w:t xml:space="preserve">. </w:t>
      </w:r>
      <w:r w:rsidR="004B446A">
        <w:t xml:space="preserve">There has also been an upward trend </w:t>
      </w:r>
      <w:r w:rsidR="00A97692">
        <w:t xml:space="preserve">in the </w:t>
      </w:r>
      <w:r w:rsidR="00AD2EF1">
        <w:t xml:space="preserve">share </w:t>
      </w:r>
      <w:r w:rsidR="00A97692">
        <w:t xml:space="preserve">of women </w:t>
      </w:r>
      <w:r w:rsidR="00AD2EF1">
        <w:t>among</w:t>
      </w:r>
      <w:r w:rsidR="00A97692">
        <w:t xml:space="preserve"> Professional, Managerial</w:t>
      </w:r>
      <w:r w:rsidR="004A61C0">
        <w:t xml:space="preserve">, </w:t>
      </w:r>
      <w:r w:rsidR="009C40B7">
        <w:t xml:space="preserve">Executive </w:t>
      </w:r>
      <w:r w:rsidR="004A61C0">
        <w:t xml:space="preserve">and Technician </w:t>
      </w:r>
      <w:r w:rsidR="00FE2F01">
        <w:t xml:space="preserve">(PMET) </w:t>
      </w:r>
      <w:r w:rsidR="009C40B7">
        <w:t xml:space="preserve">occupations </w:t>
      </w:r>
      <w:r w:rsidR="00FE2F01">
        <w:t>and</w:t>
      </w:r>
      <w:r w:rsidR="009843B9">
        <w:t xml:space="preserve"> in leadership roles</w:t>
      </w:r>
      <w:r w:rsidR="006E2C56">
        <w:t>.</w:t>
      </w:r>
      <w:r w:rsidR="009D05E0">
        <w:t xml:space="preserve"> </w:t>
      </w:r>
    </w:p>
    <w:p w14:paraId="49C33810" w14:textId="56BEFD88" w:rsidR="00B045E3" w:rsidRPr="00894684" w:rsidRDefault="00894684" w:rsidP="006C2232">
      <w:pPr>
        <w:jc w:val="both"/>
        <w:rPr>
          <w:bCs/>
        </w:rPr>
      </w:pPr>
      <w:r>
        <w:t>Barriers are reduced and removed to hinder women’s career progress. In efforts to</w:t>
      </w:r>
      <w:r w:rsidRPr="00E300B3">
        <w:t xml:space="preserve"> </w:t>
      </w:r>
      <w:r w:rsidRPr="00E300B3">
        <w:rPr>
          <w:rStyle w:val="A13"/>
          <w:sz w:val="22"/>
          <w:szCs w:val="22"/>
        </w:rPr>
        <w:t>better support more women to enter, return to, remain and progress in the workforce</w:t>
      </w:r>
      <w:r w:rsidRPr="00E300B3">
        <w:t xml:space="preserve">, we have </w:t>
      </w:r>
      <w:r w:rsidRPr="00E300B3">
        <w:rPr>
          <w:rFonts w:cstheme="minorHAnsi"/>
        </w:rPr>
        <w:t xml:space="preserve">increased access to </w:t>
      </w:r>
      <w:r>
        <w:rPr>
          <w:rFonts w:cstheme="minorHAnsi"/>
        </w:rPr>
        <w:t xml:space="preserve">FWAs </w:t>
      </w:r>
      <w:r w:rsidRPr="00E300B3">
        <w:rPr>
          <w:rFonts w:cstheme="minorHAnsi"/>
        </w:rPr>
        <w:t>and other family-friendly workplace practice</w:t>
      </w:r>
      <w:r w:rsidR="003B6B38">
        <w:rPr>
          <w:rFonts w:cstheme="minorHAnsi"/>
        </w:rPr>
        <w:t>s</w:t>
      </w:r>
      <w:r>
        <w:rPr>
          <w:rFonts w:cstheme="minorHAnsi"/>
        </w:rPr>
        <w:t xml:space="preserve">. </w:t>
      </w:r>
      <w:r w:rsidRPr="001B4746">
        <w:t xml:space="preserve">The Government </w:t>
      </w:r>
      <w:r>
        <w:t xml:space="preserve">has </w:t>
      </w:r>
      <w:r w:rsidRPr="001B4746">
        <w:t>recently introduced guidelines on FWA Requests, which will come into effect on 1 December 2024. The mandatory guidelines will shape the right norms and expectations around FWAs, by setting out how employees should request for FWAs and how employers should handle FWA requests</w:t>
      </w:r>
      <w:r w:rsidRPr="00342E3C">
        <w:rPr>
          <w:bCs/>
        </w:rPr>
        <w:t>.</w:t>
      </w:r>
    </w:p>
    <w:p w14:paraId="410459F2" w14:textId="630B222F" w:rsidR="00C551C4" w:rsidRPr="00AB2196" w:rsidRDefault="00600DFC" w:rsidP="006C2232">
      <w:pPr>
        <w:jc w:val="both"/>
        <w:rPr>
          <w:rFonts w:cs="Proxima Nova"/>
          <w:color w:val="000000"/>
        </w:rPr>
      </w:pPr>
      <w:r>
        <w:t xml:space="preserve">Nevertheless, workplace discrimination remains a concern amongst some </w:t>
      </w:r>
      <w:r w:rsidR="002108B0">
        <w:t>employees. To combat this issue</w:t>
      </w:r>
      <w:r w:rsidR="005658DB">
        <w:t xml:space="preserve">, the </w:t>
      </w:r>
      <w:r w:rsidR="00F84DFE">
        <w:t>G</w:t>
      </w:r>
      <w:r w:rsidR="005658DB">
        <w:t xml:space="preserve">overnment will be introducing the Workplace Fairness Legislation in Parliament later this year, which will strengthen protections against workplace discrimination on the basis of sex, </w:t>
      </w:r>
      <w:r w:rsidR="002E4EC1">
        <w:t>marital</w:t>
      </w:r>
      <w:r w:rsidR="005658DB">
        <w:t xml:space="preserve"> status, and</w:t>
      </w:r>
      <w:r w:rsidR="00C74F4B">
        <w:t xml:space="preserve"> caregiving responsibilities among other protected characteristics.</w:t>
      </w:r>
      <w:r w:rsidR="0031267D">
        <w:t xml:space="preserve"> </w:t>
      </w:r>
      <w:r w:rsidR="002108B0">
        <w:rPr>
          <w:rStyle w:val="A13"/>
          <w:sz w:val="22"/>
          <w:szCs w:val="22"/>
        </w:rPr>
        <w:t xml:space="preserve">The </w:t>
      </w:r>
      <w:r w:rsidR="002E4EC1">
        <w:rPr>
          <w:rStyle w:val="A13"/>
          <w:sz w:val="22"/>
          <w:szCs w:val="22"/>
        </w:rPr>
        <w:t>Government is</w:t>
      </w:r>
      <w:r w:rsidR="002108B0">
        <w:rPr>
          <w:rStyle w:val="A13"/>
          <w:sz w:val="22"/>
          <w:szCs w:val="22"/>
        </w:rPr>
        <w:t xml:space="preserve"> committed to work closely with</w:t>
      </w:r>
      <w:r w:rsidR="002108B0" w:rsidRPr="00B610E2">
        <w:rPr>
          <w:rStyle w:val="A13"/>
          <w:sz w:val="22"/>
          <w:szCs w:val="22"/>
        </w:rPr>
        <w:t xml:space="preserve"> employers to build supportive workplaces that help both male and female employees balance their responsibilities within and outside work.</w:t>
      </w:r>
    </w:p>
    <w:p w14:paraId="79B0ADE6" w14:textId="4DE500EE" w:rsidR="00CA3F2A" w:rsidRPr="00E300B3" w:rsidRDefault="00FF3D43" w:rsidP="00E300B3">
      <w:pPr>
        <w:pStyle w:val="Heading2"/>
        <w:rPr>
          <w:b/>
          <w:bCs/>
          <w:u w:val="single"/>
        </w:rPr>
      </w:pPr>
      <w:bookmarkStart w:id="4" w:name="_Toc169709867"/>
      <w:r>
        <w:rPr>
          <w:b/>
          <w:bCs/>
        </w:rPr>
        <w:t>B.</w:t>
      </w:r>
      <w:r>
        <w:rPr>
          <w:b/>
          <w:bCs/>
        </w:rPr>
        <w:tab/>
      </w:r>
      <w:r w:rsidR="00CA3F2A" w:rsidRPr="00E300B3">
        <w:rPr>
          <w:b/>
          <w:bCs/>
          <w:u w:val="single"/>
        </w:rPr>
        <w:t xml:space="preserve">Recognition and </w:t>
      </w:r>
      <w:r w:rsidR="00B529F2">
        <w:rPr>
          <w:b/>
          <w:bCs/>
          <w:u w:val="single"/>
        </w:rPr>
        <w:t>S</w:t>
      </w:r>
      <w:r w:rsidR="00CA3F2A" w:rsidRPr="00E300B3">
        <w:rPr>
          <w:b/>
          <w:bCs/>
          <w:u w:val="single"/>
        </w:rPr>
        <w:t xml:space="preserve">upport for </w:t>
      </w:r>
      <w:r w:rsidR="00B529F2">
        <w:rPr>
          <w:b/>
          <w:bCs/>
          <w:u w:val="single"/>
        </w:rPr>
        <w:t>C</w:t>
      </w:r>
      <w:r w:rsidR="00CA3F2A" w:rsidRPr="00E300B3">
        <w:rPr>
          <w:b/>
          <w:bCs/>
          <w:u w:val="single"/>
        </w:rPr>
        <w:t>aregivers</w:t>
      </w:r>
      <w:bookmarkEnd w:id="4"/>
    </w:p>
    <w:p w14:paraId="74450BCE" w14:textId="1657D234" w:rsidR="00141167" w:rsidRDefault="00E11623" w:rsidP="00B64728">
      <w:pPr>
        <w:jc w:val="both"/>
      </w:pPr>
      <w:r>
        <w:br/>
      </w:r>
      <w:r w:rsidR="00B0200A" w:rsidRPr="00B0200A">
        <w:t>Caregivers are the cornerstones of our families</w:t>
      </w:r>
      <w:r w:rsidR="00AC05C0">
        <w:t xml:space="preserve"> and </w:t>
      </w:r>
      <w:r w:rsidR="00E539C5">
        <w:t xml:space="preserve">caregiving becomes a more significant </w:t>
      </w:r>
      <w:r w:rsidR="00AB3FD9">
        <w:t>responsibility as the Singapore society faces an aging population. While more men are seen stepping up</w:t>
      </w:r>
      <w:r w:rsidR="003C6373">
        <w:t xml:space="preserve"> in caregiving duties, women still bear a disproportionate share</w:t>
      </w:r>
      <w:r w:rsidR="00141167">
        <w:t xml:space="preserve"> of the caregiving load. </w:t>
      </w:r>
    </w:p>
    <w:p w14:paraId="7795DA7A" w14:textId="1ABE6275" w:rsidR="00494A42" w:rsidRPr="00AB2196" w:rsidRDefault="00494A42" w:rsidP="00B64728">
      <w:pPr>
        <w:jc w:val="both"/>
        <w:rPr>
          <w:b/>
        </w:rPr>
      </w:pPr>
      <w:r w:rsidRPr="00AB2196">
        <w:rPr>
          <w:b/>
        </w:rPr>
        <w:t>Supporting caregivers</w:t>
      </w:r>
    </w:p>
    <w:p w14:paraId="09CEA9AA" w14:textId="0D9689EB" w:rsidR="00F01A27" w:rsidRDefault="002948B5" w:rsidP="00B64728">
      <w:pPr>
        <w:jc w:val="both"/>
      </w:pPr>
      <w:r>
        <w:t>A suite of measures ha</w:t>
      </w:r>
      <w:r w:rsidR="00FD7E22">
        <w:t>s</w:t>
      </w:r>
      <w:r>
        <w:t xml:space="preserve"> been </w:t>
      </w:r>
      <w:r w:rsidR="00235DAC">
        <w:t xml:space="preserve">rolled out by the </w:t>
      </w:r>
      <w:r w:rsidR="002D537C">
        <w:t>G</w:t>
      </w:r>
      <w:r w:rsidR="00235DAC">
        <w:t xml:space="preserve">overnment </w:t>
      </w:r>
      <w:r w:rsidR="008F076B">
        <w:t>th</w:t>
      </w:r>
      <w:r w:rsidR="008F076B" w:rsidRPr="004A0DD9">
        <w:t>rough the Caregiver Support Action Plan launched in 2019</w:t>
      </w:r>
      <w:r w:rsidR="008F076B">
        <w:t>.</w:t>
      </w:r>
      <w:r w:rsidR="00B64728">
        <w:t xml:space="preserve"> </w:t>
      </w:r>
      <w:r w:rsidR="008F076B">
        <w:t>This includes</w:t>
      </w:r>
      <w:r w:rsidR="008F076B" w:rsidRPr="004A0DD9">
        <w:t xml:space="preserve"> respite care services, to ensure caregivers are able to take breaks to care for themselves, and setting up of outreach teams to support caregivers in self-care through health and wellness activities, stress management and future-planning. Caregivers are also linked up with support groups and counselling services where needed.</w:t>
      </w:r>
      <w:r w:rsidR="00B64728">
        <w:t xml:space="preserve"> </w:t>
      </w:r>
    </w:p>
    <w:p w14:paraId="0229049E" w14:textId="04C79812" w:rsidR="00C919D5" w:rsidRPr="00B64728" w:rsidRDefault="00C919D5" w:rsidP="00B64728">
      <w:pPr>
        <w:rPr>
          <w:b/>
          <w:bCs/>
        </w:rPr>
      </w:pPr>
      <w:r w:rsidRPr="00B07553">
        <w:rPr>
          <w:b/>
          <w:bCs/>
        </w:rPr>
        <w:t xml:space="preserve">Sharing caregiving responsibilities between men and women </w:t>
      </w:r>
    </w:p>
    <w:p w14:paraId="076E578F" w14:textId="6A15180C" w:rsidR="008B06AB" w:rsidRDefault="00FE26B8" w:rsidP="00B64728">
      <w:pPr>
        <w:jc w:val="both"/>
      </w:pPr>
      <w:r w:rsidRPr="00E55A13">
        <w:t xml:space="preserve">The Government has encouraged more equal sharing of parental responsibilities that can help women better balance work and family responsibilities and maximise their potential at work. Government-Paid </w:t>
      </w:r>
      <w:r w:rsidRPr="00E55A13">
        <w:lastRenderedPageBreak/>
        <w:t>Paternity Leave was introduced in 2013</w:t>
      </w:r>
      <w:r w:rsidR="00B64728">
        <w:t xml:space="preserve"> and </w:t>
      </w:r>
      <w:r w:rsidRPr="00E55A13">
        <w:t xml:space="preserve">was increased by an additional two weeks on a voluntary basis in 2024, to a total of four weeks. Employers who offer the additional leave will be reimbursed by the Government. </w:t>
      </w:r>
      <w:r w:rsidR="00826724">
        <w:t xml:space="preserve">In 2024, </w:t>
      </w:r>
      <w:r w:rsidRPr="00E55A13">
        <w:t xml:space="preserve">Unpaid Infant Care Leave was also doubled to 12 days per year per parent, in the child’s first two years, so that parents can take more time off to care for and bond with their child, or to settle caregiving arrangements. </w:t>
      </w:r>
    </w:p>
    <w:p w14:paraId="122900BB" w14:textId="2F8D513A" w:rsidR="00C551C4" w:rsidRPr="00383692" w:rsidRDefault="00FE26B8" w:rsidP="00702EDF">
      <w:pPr>
        <w:jc w:val="both"/>
      </w:pPr>
      <w:r w:rsidRPr="00E55A13">
        <w:t>We aim to make the additional two weeks of Government-Paid Paternity Leave mandatory as soon as possible and also consider how paid parental leave can be further increased to better support parents’ needs while managing impact on business costs and operations</w:t>
      </w:r>
      <w:r w:rsidR="0062379F">
        <w:t>.</w:t>
      </w:r>
      <w:r w:rsidR="00702EDF">
        <w:t xml:space="preserve"> </w:t>
      </w:r>
    </w:p>
    <w:p w14:paraId="1F097815" w14:textId="5B08DA02" w:rsidR="00CA3F2A" w:rsidRPr="00E300B3" w:rsidRDefault="00FF3D43" w:rsidP="00E300B3">
      <w:pPr>
        <w:pStyle w:val="Heading2"/>
        <w:rPr>
          <w:b/>
          <w:bCs/>
          <w:u w:val="single"/>
        </w:rPr>
      </w:pPr>
      <w:bookmarkStart w:id="5" w:name="_Toc169709868"/>
      <w:r>
        <w:rPr>
          <w:b/>
          <w:bCs/>
        </w:rPr>
        <w:t>C.</w:t>
      </w:r>
      <w:r>
        <w:rPr>
          <w:b/>
          <w:bCs/>
        </w:rPr>
        <w:tab/>
      </w:r>
      <w:r w:rsidR="00CA3F2A" w:rsidRPr="00E300B3">
        <w:rPr>
          <w:b/>
          <w:bCs/>
          <w:u w:val="single"/>
        </w:rPr>
        <w:t xml:space="preserve">Protection against </w:t>
      </w:r>
      <w:r w:rsidR="00B529F2">
        <w:rPr>
          <w:b/>
          <w:bCs/>
          <w:u w:val="single"/>
        </w:rPr>
        <w:t>V</w:t>
      </w:r>
      <w:r w:rsidR="00CA3F2A" w:rsidRPr="00E300B3">
        <w:rPr>
          <w:b/>
          <w:bCs/>
          <w:u w:val="single"/>
        </w:rPr>
        <w:t xml:space="preserve">iolence and </w:t>
      </w:r>
      <w:r w:rsidR="00B529F2">
        <w:rPr>
          <w:b/>
          <w:bCs/>
          <w:u w:val="single"/>
        </w:rPr>
        <w:t>H</w:t>
      </w:r>
      <w:r w:rsidR="00CA3F2A" w:rsidRPr="00E300B3">
        <w:rPr>
          <w:b/>
          <w:bCs/>
          <w:u w:val="single"/>
        </w:rPr>
        <w:t>arm</w:t>
      </w:r>
      <w:bookmarkEnd w:id="5"/>
    </w:p>
    <w:p w14:paraId="4B6B8531" w14:textId="77777777" w:rsidR="008B618A" w:rsidRPr="008B618A" w:rsidRDefault="001250F3" w:rsidP="00EF7E78">
      <w:pPr>
        <w:jc w:val="both"/>
      </w:pPr>
      <w:r>
        <w:rPr>
          <w:b/>
          <w:bCs/>
        </w:rPr>
        <w:br/>
      </w:r>
      <w:r w:rsidR="008B618A" w:rsidRPr="008B618A">
        <w:t>Singapore does not tolerate any form of violence against women. Protecting women from violence requires a strong partnership among Government agencies and community partners as no one should suffer abuse in silence.</w:t>
      </w:r>
    </w:p>
    <w:p w14:paraId="3D130941" w14:textId="0FA22154" w:rsidR="00DD3761" w:rsidRPr="005643D3" w:rsidRDefault="0086418E" w:rsidP="0063474C">
      <w:pPr>
        <w:pStyle w:val="ListParagraph"/>
        <w:numPr>
          <w:ilvl w:val="0"/>
          <w:numId w:val="85"/>
        </w:numPr>
        <w:rPr>
          <w:b/>
          <w:bCs/>
        </w:rPr>
      </w:pPr>
      <w:r w:rsidRPr="005643D3">
        <w:rPr>
          <w:b/>
          <w:bCs/>
        </w:rPr>
        <w:t>Legislation</w:t>
      </w:r>
      <w:r w:rsidR="001250F3">
        <w:rPr>
          <w:b/>
          <w:bCs/>
        </w:rPr>
        <w:t xml:space="preserve"> </w:t>
      </w:r>
    </w:p>
    <w:p w14:paraId="08B8FF91" w14:textId="5738AF84" w:rsidR="00C27888" w:rsidRDefault="00C27888" w:rsidP="00BE190C">
      <w:pPr>
        <w:jc w:val="both"/>
      </w:pPr>
      <w:r w:rsidRPr="00C27888">
        <w:t xml:space="preserve">Through legislation and enforcement, the Government continues to take seriously any incident of sexual violence against women, including rape and outrage of modesty. These measures have evolved to meet the changing context and nature of harms such as emerging trends in the online sphere. </w:t>
      </w:r>
    </w:p>
    <w:p w14:paraId="691FF578" w14:textId="29D9C521" w:rsidR="00DD4E0D" w:rsidRDefault="000642BF" w:rsidP="00403445">
      <w:pPr>
        <w:jc w:val="both"/>
      </w:pPr>
      <w:r>
        <w:t xml:space="preserve">In 2019, </w:t>
      </w:r>
      <w:r w:rsidR="00297202">
        <w:t xml:space="preserve">we conducted a comprehensive review of the Penal Code and made significant updates to our offences. </w:t>
      </w:r>
      <w:r w:rsidR="006958EA">
        <w:t xml:space="preserve">In particular, </w:t>
      </w:r>
      <w:r w:rsidR="00923C11">
        <w:t>p</w:t>
      </w:r>
      <w:r w:rsidR="009362A8">
        <w:t xml:space="preserve">enalties were enhanced </w:t>
      </w:r>
      <w:r w:rsidR="00BF33DC">
        <w:t xml:space="preserve">for </w:t>
      </w:r>
      <w:r w:rsidR="00B50BDB">
        <w:t>offences committed against vulnerable victims</w:t>
      </w:r>
      <w:r w:rsidR="0072490A">
        <w:t xml:space="preserve">, including very young minors below 14, domestic workers, persons suffering from disability </w:t>
      </w:r>
      <w:r w:rsidR="006958EA">
        <w:t>and victims in close or intimate relationships with the offender</w:t>
      </w:r>
      <w:r w:rsidR="00C27888" w:rsidRPr="00C27888">
        <w:t xml:space="preserve">. </w:t>
      </w:r>
    </w:p>
    <w:p w14:paraId="5A5C1752" w14:textId="5B419F07" w:rsidR="00DD4E0D" w:rsidRDefault="009362A8" w:rsidP="00403445">
      <w:pPr>
        <w:jc w:val="both"/>
      </w:pPr>
      <w:r>
        <w:t xml:space="preserve">In 2021, </w:t>
      </w:r>
      <w:r w:rsidR="00DD4E0D">
        <w:t xml:space="preserve">the Penal Code was further amended to enhance </w:t>
      </w:r>
      <w:r>
        <w:t xml:space="preserve">penalties for certain sexual offences, including outrage of modesty. </w:t>
      </w:r>
    </w:p>
    <w:p w14:paraId="7E5B75EE" w14:textId="21F698BE" w:rsidR="000642BF" w:rsidRDefault="009362A8" w:rsidP="00403445">
      <w:pPr>
        <w:jc w:val="both"/>
      </w:pPr>
      <w:r>
        <w:t xml:space="preserve">The </w:t>
      </w:r>
      <w:r w:rsidR="00DD4E0D">
        <w:t xml:space="preserve">Penal Code </w:t>
      </w:r>
      <w:r>
        <w:t>amendments serve</w:t>
      </w:r>
      <w:r w:rsidR="00C27888" w:rsidRPr="00C27888">
        <w:t xml:space="preserve"> to enhance deterrence and allow the courts to deal with egregious cases more severely. </w:t>
      </w:r>
    </w:p>
    <w:p w14:paraId="3B9BFBF8" w14:textId="40B7152F" w:rsidR="0086418E" w:rsidRDefault="00C27888" w:rsidP="00403445">
      <w:pPr>
        <w:jc w:val="both"/>
      </w:pPr>
      <w:r w:rsidRPr="00C27888">
        <w:t>In February 2024, as part of the Criminal Procedure (Miscellaneous Amendments) Bill, a new sentencing option</w:t>
      </w:r>
      <w:r w:rsidR="00144573">
        <w:t xml:space="preserve"> was </w:t>
      </w:r>
      <w:r w:rsidR="006C0E25">
        <w:t>introduced</w:t>
      </w:r>
      <w:r w:rsidRPr="00C27888">
        <w:t xml:space="preserve"> – the Sentence for Enhanced Public Protection – which </w:t>
      </w:r>
      <w:r w:rsidR="00DD4E0D">
        <w:t>will allow</w:t>
      </w:r>
      <w:r w:rsidR="00DD4E0D" w:rsidRPr="00C27888">
        <w:t xml:space="preserve"> </w:t>
      </w:r>
      <w:r w:rsidRPr="00C27888">
        <w:t xml:space="preserve">for a serious offender, such as serial serious sex </w:t>
      </w:r>
      <w:r w:rsidR="008E417E">
        <w:t>or violent</w:t>
      </w:r>
      <w:r w:rsidRPr="00C27888">
        <w:t xml:space="preserve"> offenders, to be detained until he or she no longer poses a significant threat to public safety. </w:t>
      </w:r>
    </w:p>
    <w:p w14:paraId="53AF02A1" w14:textId="1FD704DE" w:rsidR="0086418E" w:rsidRPr="0046137B" w:rsidRDefault="0086418E" w:rsidP="0063474C">
      <w:pPr>
        <w:pStyle w:val="ListParagraph"/>
        <w:numPr>
          <w:ilvl w:val="0"/>
          <w:numId w:val="85"/>
        </w:numPr>
        <w:rPr>
          <w:b/>
        </w:rPr>
      </w:pPr>
      <w:r w:rsidRPr="0046137B">
        <w:rPr>
          <w:b/>
        </w:rPr>
        <w:t>Family violence</w:t>
      </w:r>
      <w:r w:rsidR="003F7FF9" w:rsidRPr="0046137B">
        <w:rPr>
          <w:b/>
        </w:rPr>
        <w:t xml:space="preserve"> </w:t>
      </w:r>
    </w:p>
    <w:p w14:paraId="16E0912C" w14:textId="6BDB15E5" w:rsidR="00F84DFE" w:rsidRPr="00B23243" w:rsidRDefault="00FA5D5F" w:rsidP="004D63C5">
      <w:pPr>
        <w:jc w:val="both"/>
      </w:pPr>
      <w:r w:rsidRPr="0046137B">
        <w:t>In 2023, t</w:t>
      </w:r>
      <w:r w:rsidR="00961C3C" w:rsidRPr="0046137B">
        <w:t xml:space="preserve">he Women's Charter was amended </w:t>
      </w:r>
      <w:r w:rsidR="00CC2202" w:rsidRPr="0046137B">
        <w:rPr>
          <w:rFonts w:eastAsia="Arial" w:cstheme="minorHAnsi"/>
          <w:lang w:eastAsia="zh-CN"/>
        </w:rPr>
        <w:t xml:space="preserve">to strengthen protection for </w:t>
      </w:r>
      <w:r w:rsidR="00AA35F2" w:rsidRPr="0046137B">
        <w:rPr>
          <w:rFonts w:eastAsia="Arial" w:cstheme="minorHAnsi"/>
          <w:lang w:eastAsia="zh-CN"/>
        </w:rPr>
        <w:t>victim-</w:t>
      </w:r>
      <w:r w:rsidR="00CC2202" w:rsidRPr="0046137B">
        <w:rPr>
          <w:rFonts w:eastAsia="Arial" w:cstheme="minorHAnsi"/>
          <w:lang w:eastAsia="zh-CN"/>
        </w:rPr>
        <w:t>survivors, and enhance rehabilitation and accountability of perpetrators of family violence</w:t>
      </w:r>
      <w:r w:rsidR="00961C3C" w:rsidRPr="0046137B">
        <w:t>.</w:t>
      </w:r>
      <w:r w:rsidR="0016307F" w:rsidRPr="0046137B">
        <w:t xml:space="preserve"> </w:t>
      </w:r>
      <w:r w:rsidR="00490491" w:rsidRPr="0046137B">
        <w:t xml:space="preserve">We also launched </w:t>
      </w:r>
      <w:r w:rsidR="0016307F" w:rsidRPr="0046137B">
        <w:t xml:space="preserve">the 24-hour Domestic Violence Emergency Response Team </w:t>
      </w:r>
      <w:r w:rsidR="00165D22" w:rsidRPr="0046137B">
        <w:t xml:space="preserve">(DVERT) </w:t>
      </w:r>
      <w:r w:rsidR="00490491" w:rsidRPr="0046137B">
        <w:t>where</w:t>
      </w:r>
      <w:r w:rsidR="00A45C1E" w:rsidRPr="0046137B">
        <w:t xml:space="preserve"> </w:t>
      </w:r>
      <w:r w:rsidR="005D40C9" w:rsidRPr="0046137B">
        <w:t>social work professionals from the</w:t>
      </w:r>
      <w:r w:rsidR="00A45C1E" w:rsidRPr="0046137B">
        <w:t xml:space="preserve"> </w:t>
      </w:r>
      <w:r w:rsidR="002570B2" w:rsidRPr="0046137B">
        <w:t xml:space="preserve">Ministry of Social and Family Development (MSF) </w:t>
      </w:r>
      <w:r w:rsidR="00490491" w:rsidRPr="0046137B">
        <w:t>will</w:t>
      </w:r>
      <w:r w:rsidR="00A45C1E" w:rsidRPr="0046137B">
        <w:t xml:space="preserve"> respond jointly with the Police for </w:t>
      </w:r>
      <w:r w:rsidR="00C11CFD" w:rsidRPr="0046137B">
        <w:t xml:space="preserve">domestic </w:t>
      </w:r>
      <w:r w:rsidR="00A45C1E" w:rsidRPr="0046137B">
        <w:t>violence cases with immediate safety risks</w:t>
      </w:r>
      <w:r w:rsidR="0016307F" w:rsidRPr="0046137B">
        <w:t>.</w:t>
      </w:r>
      <w:r w:rsidR="0016307F" w:rsidRPr="003F7FF9">
        <w:t xml:space="preserve"> </w:t>
      </w:r>
    </w:p>
    <w:p w14:paraId="5DAC18A0" w14:textId="77777777" w:rsidR="00EB6DD6" w:rsidRDefault="00EB6DD6" w:rsidP="004D63C5">
      <w:pPr>
        <w:jc w:val="both"/>
      </w:pPr>
    </w:p>
    <w:p w14:paraId="27C7AF72" w14:textId="77777777" w:rsidR="00EB6DD6" w:rsidRPr="00B23243" w:rsidRDefault="00EB6DD6" w:rsidP="004D63C5">
      <w:pPr>
        <w:jc w:val="both"/>
      </w:pPr>
    </w:p>
    <w:p w14:paraId="3F301854" w14:textId="3CB61C33" w:rsidR="005C579A" w:rsidRPr="004D63C5" w:rsidRDefault="00681177" w:rsidP="0063474C">
      <w:pPr>
        <w:pStyle w:val="ListParagraph"/>
        <w:numPr>
          <w:ilvl w:val="0"/>
          <w:numId w:val="85"/>
        </w:numPr>
        <w:rPr>
          <w:b/>
          <w:bCs/>
        </w:rPr>
      </w:pPr>
      <w:r w:rsidRPr="0063474C">
        <w:rPr>
          <w:b/>
          <w:bCs/>
        </w:rPr>
        <w:lastRenderedPageBreak/>
        <w:t xml:space="preserve">Online harms </w:t>
      </w:r>
    </w:p>
    <w:p w14:paraId="7CB44A0D" w14:textId="77777777" w:rsidR="005643D3" w:rsidRPr="005643D3" w:rsidRDefault="00B40969" w:rsidP="00724F12">
      <w:pPr>
        <w:jc w:val="both"/>
      </w:pPr>
      <w:r>
        <w:t xml:space="preserve">In this digital era, online harms have emerged as a new </w:t>
      </w:r>
      <w:r w:rsidR="008602A2">
        <w:t xml:space="preserve">form of threat to women’s safety. </w:t>
      </w:r>
      <w:r w:rsidR="00DE3FC4">
        <w:t>Most recently, the Government</w:t>
      </w:r>
      <w:r w:rsidR="005643D3" w:rsidRPr="005643D3">
        <w:t xml:space="preserve"> has</w:t>
      </w:r>
      <w:r w:rsidR="00DE3FC4">
        <w:t xml:space="preserve"> also</w:t>
      </w:r>
      <w:r w:rsidR="005643D3" w:rsidRPr="005643D3">
        <w:t xml:space="preserve"> introduced a suite of legislative measures to deal with harmful online content and behaviour, including those targeted at women and girls:</w:t>
      </w:r>
    </w:p>
    <w:p w14:paraId="2B89DB72" w14:textId="77777777" w:rsidR="005643D3" w:rsidRPr="005643D3" w:rsidRDefault="005643D3" w:rsidP="0045392A">
      <w:pPr>
        <w:numPr>
          <w:ilvl w:val="0"/>
          <w:numId w:val="10"/>
        </w:numPr>
        <w:jc w:val="both"/>
        <w:rPr>
          <w:b/>
        </w:rPr>
      </w:pPr>
      <w:r w:rsidRPr="005643D3">
        <w:t xml:space="preserve">In November 2022, the Government amended the Broadcasting Act to empower the Government to issue directions to providers of Online Communication Services </w:t>
      </w:r>
      <w:r w:rsidR="00FB09FA">
        <w:t>(OCSs)</w:t>
      </w:r>
      <w:r w:rsidR="00FB09FA" w:rsidRPr="005643D3">
        <w:t xml:space="preserve"> </w:t>
      </w:r>
      <w:r w:rsidRPr="005643D3">
        <w:t>to</w:t>
      </w:r>
      <w:r w:rsidRPr="005643D3" w:rsidDel="006B1ACC">
        <w:t xml:space="preserve"> </w:t>
      </w:r>
      <w:r w:rsidR="006B1ACC">
        <w:t>disable access to</w:t>
      </w:r>
      <w:r w:rsidRPr="005643D3">
        <w:t xml:space="preserve"> egregious content found online from being accessed by Singapore users, for example, content that advocates </w:t>
      </w:r>
      <w:r w:rsidR="00887112" w:rsidRPr="08641403">
        <w:t xml:space="preserve">or instructs on </w:t>
      </w:r>
      <w:r w:rsidR="00887112" w:rsidRPr="005643D3">
        <w:t>physical or sexual violence.</w:t>
      </w:r>
    </w:p>
    <w:p w14:paraId="62B46EAB" w14:textId="77777777" w:rsidR="005643D3" w:rsidRPr="005643D3" w:rsidRDefault="005643D3" w:rsidP="0045392A">
      <w:pPr>
        <w:numPr>
          <w:ilvl w:val="0"/>
          <w:numId w:val="10"/>
        </w:numPr>
        <w:jc w:val="both"/>
        <w:rPr>
          <w:b/>
        </w:rPr>
      </w:pPr>
      <w:r w:rsidRPr="005643D3">
        <w:t>A Code of Practice for Online Safety was introduced in July 2023 to require designated social media services with significant reach or impact in Singapore to put in place measures to minimise Singapore users’ exposure to harmful online content, including sexual or cyberbullying content.</w:t>
      </w:r>
    </w:p>
    <w:p w14:paraId="3F06702F" w14:textId="52939E87" w:rsidR="001041DF" w:rsidRPr="0046137B" w:rsidRDefault="00CE7DAF" w:rsidP="00480B6B">
      <w:pPr>
        <w:numPr>
          <w:ilvl w:val="0"/>
          <w:numId w:val="10"/>
        </w:numPr>
        <w:jc w:val="both"/>
        <w:rPr>
          <w:b/>
        </w:rPr>
      </w:pPr>
      <w:r>
        <w:t xml:space="preserve">The </w:t>
      </w:r>
      <w:r w:rsidR="001041DF">
        <w:t>Online Criminal Harms Act c</w:t>
      </w:r>
      <w:r w:rsidR="00B23ECD">
        <w:t>a</w:t>
      </w:r>
      <w:r w:rsidR="001041DF">
        <w:t xml:space="preserve">me into effect </w:t>
      </w:r>
      <w:r w:rsidR="00B23ECD">
        <w:t>in</w:t>
      </w:r>
      <w:r w:rsidR="001041DF">
        <w:t xml:space="preserve"> February 2024. </w:t>
      </w:r>
      <w:r w:rsidR="001041DF" w:rsidRPr="009C1649">
        <w:t>It introduce</w:t>
      </w:r>
      <w:r w:rsidR="00B23ECD" w:rsidRPr="009C1649">
        <w:t>d</w:t>
      </w:r>
      <w:r w:rsidR="001041DF" w:rsidRPr="009C1649">
        <w:t xml:space="preserve"> levers to enable the authorities to deal more effectively with online criminal activities</w:t>
      </w:r>
      <w:r w:rsidR="001041DF">
        <w:t xml:space="preserve"> </w:t>
      </w:r>
      <w:r w:rsidR="00067F96">
        <w:t xml:space="preserve">such as </w:t>
      </w:r>
      <w:r w:rsidR="00887112" w:rsidRPr="00A17297">
        <w:t>the non-consensual dissemination of intimate images and the distribution of child sexual abuse material. The Act empowers law enforcement agencies to issue Directions to online service providers, other entities, or individuals to restrict the exposure of users in Singapore to online criminal content and activity.</w:t>
      </w:r>
    </w:p>
    <w:p w14:paraId="75893B15" w14:textId="7397AACC" w:rsidR="0086418E" w:rsidRPr="006563A3" w:rsidRDefault="00AE1FC0" w:rsidP="0086418E">
      <w:pPr>
        <w:numPr>
          <w:ilvl w:val="0"/>
          <w:numId w:val="10"/>
        </w:numPr>
        <w:jc w:val="both"/>
        <w:rPr>
          <w:b/>
        </w:rPr>
      </w:pPr>
      <w:r>
        <w:t xml:space="preserve">In 2019, new offences were added into the Penal Code to deal with technology-facilitated sexual offences, including the whole spectrum of offences involving child abuse materials. </w:t>
      </w:r>
    </w:p>
    <w:p w14:paraId="07FA3AC0" w14:textId="04F533BB" w:rsidR="00562698" w:rsidRDefault="00FF3D43" w:rsidP="004D63C5">
      <w:pPr>
        <w:pStyle w:val="Heading2"/>
        <w:rPr>
          <w:b/>
          <w:bCs/>
          <w:u w:val="single"/>
        </w:rPr>
      </w:pPr>
      <w:bookmarkStart w:id="6" w:name="_Toc169709869"/>
      <w:r>
        <w:rPr>
          <w:b/>
          <w:bCs/>
        </w:rPr>
        <w:t>D.</w:t>
      </w:r>
      <w:r>
        <w:rPr>
          <w:b/>
          <w:bCs/>
        </w:rPr>
        <w:tab/>
      </w:r>
      <w:r w:rsidR="00CA3F2A" w:rsidRPr="00E300B3">
        <w:rPr>
          <w:b/>
          <w:bCs/>
          <w:u w:val="single"/>
        </w:rPr>
        <w:t xml:space="preserve">Other </w:t>
      </w:r>
      <w:r w:rsidR="00B529F2">
        <w:rPr>
          <w:b/>
          <w:bCs/>
          <w:u w:val="single"/>
        </w:rPr>
        <w:t>S</w:t>
      </w:r>
      <w:r w:rsidR="00CA3F2A" w:rsidRPr="00E300B3">
        <w:rPr>
          <w:b/>
          <w:bCs/>
          <w:u w:val="single"/>
        </w:rPr>
        <w:t xml:space="preserve">upport </w:t>
      </w:r>
      <w:r w:rsidR="00B529F2">
        <w:rPr>
          <w:b/>
          <w:bCs/>
          <w:u w:val="single"/>
        </w:rPr>
        <w:t>M</w:t>
      </w:r>
      <w:r w:rsidR="00CA3F2A" w:rsidRPr="00E300B3">
        <w:rPr>
          <w:b/>
          <w:bCs/>
          <w:u w:val="single"/>
        </w:rPr>
        <w:t xml:space="preserve">easures for </w:t>
      </w:r>
      <w:r w:rsidR="00B529F2">
        <w:rPr>
          <w:b/>
          <w:bCs/>
          <w:u w:val="single"/>
        </w:rPr>
        <w:t>W</w:t>
      </w:r>
      <w:r w:rsidR="00CA3F2A" w:rsidRPr="00E300B3">
        <w:rPr>
          <w:b/>
          <w:bCs/>
          <w:u w:val="single"/>
        </w:rPr>
        <w:t>omen</w:t>
      </w:r>
      <w:bookmarkEnd w:id="6"/>
    </w:p>
    <w:p w14:paraId="37A7A865" w14:textId="405E3020" w:rsidR="00562698" w:rsidRDefault="00562698" w:rsidP="0063474C">
      <w:pPr>
        <w:pStyle w:val="ListParagraph"/>
        <w:numPr>
          <w:ilvl w:val="0"/>
          <w:numId w:val="86"/>
        </w:numPr>
        <w:rPr>
          <w:b/>
          <w:bCs/>
        </w:rPr>
      </w:pPr>
      <w:r>
        <w:rPr>
          <w:b/>
          <w:bCs/>
        </w:rPr>
        <w:t xml:space="preserve">Enhanced </w:t>
      </w:r>
      <w:r w:rsidR="0063474C">
        <w:rPr>
          <w:b/>
          <w:bCs/>
        </w:rPr>
        <w:t>h</w:t>
      </w:r>
      <w:r w:rsidRPr="0063474C">
        <w:rPr>
          <w:b/>
          <w:bCs/>
        </w:rPr>
        <w:t>ealthcare</w:t>
      </w:r>
      <w:r>
        <w:rPr>
          <w:b/>
          <w:bCs/>
        </w:rPr>
        <w:t xml:space="preserve"> support for </w:t>
      </w:r>
      <w:r w:rsidR="0063474C">
        <w:rPr>
          <w:b/>
          <w:bCs/>
        </w:rPr>
        <w:t>w</w:t>
      </w:r>
      <w:r w:rsidRPr="0063474C">
        <w:rPr>
          <w:b/>
          <w:bCs/>
        </w:rPr>
        <w:t>omen</w:t>
      </w:r>
      <w:r>
        <w:rPr>
          <w:b/>
          <w:bCs/>
        </w:rPr>
        <w:t xml:space="preserve"> </w:t>
      </w:r>
    </w:p>
    <w:p w14:paraId="1FE9F549" w14:textId="4F988ECD" w:rsidR="00562698" w:rsidRPr="004D63C5" w:rsidRDefault="008B7BAB" w:rsidP="004D63C5">
      <w:pPr>
        <w:jc w:val="both"/>
      </w:pPr>
      <w:r w:rsidRPr="004D63C5">
        <w:t>Women enjoy strong health outcomes in Singapore, along with high life expectancy. Healthcare services have been improved for different groups of women such as caregivers, mothers</w:t>
      </w:r>
      <w:r w:rsidR="00E8474E" w:rsidRPr="004D63C5">
        <w:t>,</w:t>
      </w:r>
      <w:r w:rsidRPr="004D63C5">
        <w:t xml:space="preserve"> and the elderly. These aim to provide women greater opportunities and agency to achieve their aspirations.</w:t>
      </w:r>
      <w:r w:rsidR="0086378F">
        <w:t xml:space="preserve"> </w:t>
      </w:r>
    </w:p>
    <w:p w14:paraId="77C762DA" w14:textId="6313AF6A" w:rsidR="004D63C5" w:rsidRPr="00764FB4" w:rsidRDefault="002A11A4" w:rsidP="004D63C5">
      <w:pPr>
        <w:pStyle w:val="NormalWeb"/>
        <w:spacing w:before="120" w:after="120"/>
        <w:jc w:val="both"/>
        <w:rPr>
          <w:rFonts w:asciiTheme="minorHAnsi" w:hAnsiTheme="minorHAnsi" w:cstheme="minorHAnsi"/>
          <w:sz w:val="22"/>
          <w:szCs w:val="22"/>
          <w:lang w:eastAsia="en-SG"/>
        </w:rPr>
      </w:pPr>
      <w:r>
        <w:rPr>
          <w:rFonts w:asciiTheme="minorHAnsi" w:hAnsiTheme="minorHAnsi" w:cstheme="minorHAnsi"/>
          <w:sz w:val="22"/>
          <w:szCs w:val="22"/>
          <w:lang w:eastAsia="en-SG"/>
        </w:rPr>
        <w:t>The</w:t>
      </w:r>
      <w:r w:rsidR="0059510E">
        <w:rPr>
          <w:rFonts w:asciiTheme="minorHAnsi" w:hAnsiTheme="minorHAnsi" w:cstheme="minorHAnsi"/>
          <w:sz w:val="22"/>
          <w:szCs w:val="22"/>
          <w:lang w:eastAsia="en-SG"/>
        </w:rPr>
        <w:t xml:space="preserve"> </w:t>
      </w:r>
      <w:r w:rsidR="0059510E" w:rsidRPr="004860BB">
        <w:rPr>
          <w:rFonts w:asciiTheme="minorHAnsi" w:hAnsiTheme="minorHAnsi" w:cstheme="minorHAnsi"/>
          <w:sz w:val="22"/>
          <w:szCs w:val="22"/>
          <w:lang w:eastAsia="en-SG"/>
        </w:rPr>
        <w:t xml:space="preserve">healthcare </w:t>
      </w:r>
      <w:r w:rsidR="00554E04">
        <w:rPr>
          <w:rFonts w:asciiTheme="minorHAnsi" w:hAnsiTheme="minorHAnsi" w:cstheme="minorHAnsi"/>
          <w:sz w:val="22"/>
          <w:szCs w:val="22"/>
          <w:lang w:eastAsia="en-SG"/>
        </w:rPr>
        <w:t>system is constantly enhanced and improved</w:t>
      </w:r>
      <w:r w:rsidR="0059510E" w:rsidRPr="004860BB">
        <w:rPr>
          <w:rFonts w:asciiTheme="minorHAnsi" w:hAnsiTheme="minorHAnsi" w:cstheme="minorHAnsi"/>
          <w:sz w:val="22"/>
          <w:szCs w:val="22"/>
          <w:lang w:eastAsia="en-SG"/>
        </w:rPr>
        <w:t xml:space="preserve"> to meet increasing demands from an ageing population. </w:t>
      </w:r>
      <w:r w:rsidR="00554E04">
        <w:rPr>
          <w:rFonts w:asciiTheme="minorHAnsi" w:hAnsiTheme="minorHAnsi" w:cstheme="minorHAnsi"/>
          <w:sz w:val="22"/>
          <w:szCs w:val="22"/>
          <w:lang w:eastAsia="en-SG"/>
        </w:rPr>
        <w:t xml:space="preserve">The </w:t>
      </w:r>
      <w:r w:rsidR="00F84DFE">
        <w:rPr>
          <w:rFonts w:asciiTheme="minorHAnsi" w:hAnsiTheme="minorHAnsi" w:cstheme="minorHAnsi"/>
          <w:sz w:val="22"/>
          <w:szCs w:val="22"/>
          <w:lang w:eastAsia="en-SG"/>
        </w:rPr>
        <w:t>G</w:t>
      </w:r>
      <w:r w:rsidR="00554E04">
        <w:rPr>
          <w:rFonts w:asciiTheme="minorHAnsi" w:hAnsiTheme="minorHAnsi" w:cstheme="minorHAnsi"/>
          <w:sz w:val="22"/>
          <w:szCs w:val="22"/>
          <w:lang w:eastAsia="en-SG"/>
        </w:rPr>
        <w:t>overnment continues</w:t>
      </w:r>
      <w:r w:rsidR="0059510E" w:rsidRPr="004860BB">
        <w:rPr>
          <w:rFonts w:asciiTheme="minorHAnsi" w:hAnsiTheme="minorHAnsi" w:cstheme="minorHAnsi"/>
          <w:sz w:val="22"/>
          <w:szCs w:val="22"/>
          <w:lang w:eastAsia="en-SG"/>
        </w:rPr>
        <w:t xml:space="preserve"> to invest heavily in building new healthcare infrastructure and upgrading existing ones – hospitals, community hospitals, senior care facilities – to ensure high quality yet affordable care for all, including for older women. We are also expanding the range of social and long-term care services in the community to meet our seniors’ desire to age in place. </w:t>
      </w:r>
    </w:p>
    <w:p w14:paraId="37702E4C" w14:textId="4996C865" w:rsidR="005609E7" w:rsidRDefault="001D585C" w:rsidP="0063474C">
      <w:pPr>
        <w:pStyle w:val="ListParagraph"/>
        <w:numPr>
          <w:ilvl w:val="0"/>
          <w:numId w:val="86"/>
        </w:numPr>
        <w:rPr>
          <w:b/>
          <w:bCs/>
        </w:rPr>
      </w:pPr>
      <w:r>
        <w:rPr>
          <w:b/>
          <w:bCs/>
        </w:rPr>
        <w:t xml:space="preserve">Support for </w:t>
      </w:r>
      <w:r w:rsidR="00821B3C">
        <w:rPr>
          <w:b/>
          <w:bCs/>
        </w:rPr>
        <w:t>minority groups</w:t>
      </w:r>
      <w:r w:rsidR="005609E7">
        <w:rPr>
          <w:b/>
          <w:bCs/>
        </w:rPr>
        <w:t xml:space="preserve"> </w:t>
      </w:r>
    </w:p>
    <w:p w14:paraId="3EC153FD" w14:textId="3788E92F" w:rsidR="00B94BD1" w:rsidRDefault="00B94BD1" w:rsidP="00724F12">
      <w:pPr>
        <w:jc w:val="both"/>
      </w:pPr>
      <w:r w:rsidRPr="00B94BD1">
        <w:t>Singapore is a small, densely populated city-state with a diverse society comprising Malays, Chinese, Indians, Eurasians and individuals from many other ethnicities. Singapore is committed to balancing our Constitutional duty to protect the personal and religious rights of minorities</w:t>
      </w:r>
      <w:r w:rsidR="00AF31F1">
        <w:t>.</w:t>
      </w:r>
    </w:p>
    <w:p w14:paraId="362CBE26" w14:textId="119B58E0" w:rsidR="005609E7" w:rsidRPr="00C20D5C" w:rsidRDefault="7290AC08" w:rsidP="00724F12">
      <w:pPr>
        <w:jc w:val="both"/>
      </w:pPr>
      <w:r w:rsidRPr="150062EB">
        <w:t xml:space="preserve">Our constitution provides that all persons are equal </w:t>
      </w:r>
      <w:r w:rsidRPr="05FCC034">
        <w:t xml:space="preserve">before the law, and entitled to equal protection of the law. </w:t>
      </w:r>
      <w:r w:rsidR="38D01D95" w:rsidRPr="25CB77BE">
        <w:t>W</w:t>
      </w:r>
      <w:r w:rsidR="005609E7" w:rsidRPr="00C20D5C">
        <w:t xml:space="preserve">e have institutional safeguards to ensure our Parliament will always be multi-racial. </w:t>
      </w:r>
    </w:p>
    <w:p w14:paraId="052D55A5" w14:textId="0523BBF0" w:rsidR="005609E7" w:rsidRPr="00C20D5C" w:rsidRDefault="005609E7" w:rsidP="00724F12">
      <w:pPr>
        <w:jc w:val="both"/>
      </w:pPr>
      <w:r w:rsidRPr="00C20D5C">
        <w:t xml:space="preserve">Our former President, </w:t>
      </w:r>
      <w:proofErr w:type="spellStart"/>
      <w:r w:rsidRPr="00C20D5C">
        <w:t>Mdm</w:t>
      </w:r>
      <w:proofErr w:type="spellEnd"/>
      <w:r w:rsidRPr="00C20D5C">
        <w:t xml:space="preserve"> Halimah Yaacob, who was elected in 2017, </w:t>
      </w:r>
      <w:r w:rsidR="44DF33F5" w:rsidRPr="76D855AA">
        <w:t>was</w:t>
      </w:r>
      <w:r w:rsidRPr="00C20D5C">
        <w:t xml:space="preserve"> Singapore’s first female Malay President</w:t>
      </w:r>
      <w:r w:rsidR="00CC3D26">
        <w:t xml:space="preserve">. </w:t>
      </w:r>
      <w:r w:rsidRPr="00C20D5C">
        <w:t xml:space="preserve">The rights of the minorities are protected by the Presidential Council for Minority Rights, which serves as an independent safeguard against the enactment of racially discriminatory laws. The Presidential </w:t>
      </w:r>
      <w:r w:rsidRPr="00C20D5C">
        <w:lastRenderedPageBreak/>
        <w:t>Council scrutinises Bills passed in Parliament and subsidiary legislation to consider whether there would be any unequal disadvantage to persons of any racial or religious community.</w:t>
      </w:r>
    </w:p>
    <w:p w14:paraId="1C69A00D" w14:textId="43EDBDA8" w:rsidR="00383692" w:rsidRPr="00D75C40" w:rsidRDefault="007D4C1C" w:rsidP="00D75C40">
      <w:pPr>
        <w:jc w:val="both"/>
      </w:pPr>
      <w:r>
        <w:t>T</w:t>
      </w:r>
      <w:r w:rsidR="005609E7" w:rsidRPr="00C20D5C">
        <w:t xml:space="preserve">he Maintenance of Religious Harmony Act was </w:t>
      </w:r>
      <w:r w:rsidR="004C79BA">
        <w:t>amended</w:t>
      </w:r>
      <w:r w:rsidR="005609E7" w:rsidRPr="00C20D5C">
        <w:t xml:space="preserve"> in 2019 to help the </w:t>
      </w:r>
      <w:r w:rsidR="00F84DFE">
        <w:t>G</w:t>
      </w:r>
      <w:r w:rsidR="005609E7" w:rsidRPr="00C20D5C">
        <w:t>overnment respond more effectively to incident of religious disharmony, and strengthen our safeguards against foreign influence that threaten our religious harmony.</w:t>
      </w:r>
      <w:r w:rsidR="001A01BE">
        <w:t xml:space="preserve"> The amendments came into force in 2022. </w:t>
      </w:r>
    </w:p>
    <w:p w14:paraId="3A7549E3" w14:textId="0420F413" w:rsidR="005609E7" w:rsidRPr="00D75C40" w:rsidRDefault="00821B3C" w:rsidP="0063474C">
      <w:pPr>
        <w:pStyle w:val="ListParagraph"/>
        <w:numPr>
          <w:ilvl w:val="0"/>
          <w:numId w:val="86"/>
        </w:numPr>
        <w:rPr>
          <w:b/>
          <w:bCs/>
        </w:rPr>
      </w:pPr>
      <w:r>
        <w:rPr>
          <w:b/>
          <w:bCs/>
        </w:rPr>
        <w:t xml:space="preserve">Support for </w:t>
      </w:r>
      <w:r w:rsidR="00C34277">
        <w:rPr>
          <w:b/>
          <w:bCs/>
        </w:rPr>
        <w:t xml:space="preserve">single </w:t>
      </w:r>
      <w:r w:rsidR="00B3574D">
        <w:rPr>
          <w:b/>
          <w:bCs/>
        </w:rPr>
        <w:t>m</w:t>
      </w:r>
      <w:r w:rsidR="00C34277">
        <w:rPr>
          <w:b/>
          <w:bCs/>
        </w:rPr>
        <w:t>others</w:t>
      </w:r>
      <w:r w:rsidDel="00821B3C">
        <w:rPr>
          <w:b/>
          <w:bCs/>
        </w:rPr>
        <w:t xml:space="preserve"> </w:t>
      </w:r>
    </w:p>
    <w:p w14:paraId="015C5C02" w14:textId="6E6C41E8" w:rsidR="00B046A5" w:rsidRDefault="00C34277" w:rsidP="00D32CC1">
      <w:pPr>
        <w:jc w:val="both"/>
      </w:pPr>
      <w:r>
        <w:t xml:space="preserve">The </w:t>
      </w:r>
      <w:r w:rsidR="00F84DFE">
        <w:t>G</w:t>
      </w:r>
      <w:r>
        <w:t>overnment is commi</w:t>
      </w:r>
      <w:r w:rsidR="00F5155E">
        <w:t xml:space="preserve">tted to </w:t>
      </w:r>
      <w:r w:rsidR="00975C35">
        <w:t xml:space="preserve">provide </w:t>
      </w:r>
      <w:r w:rsidR="00275C6A">
        <w:t xml:space="preserve">necessary support and care for </w:t>
      </w:r>
      <w:r w:rsidR="0080610C">
        <w:t>women who are in vulnerable situations, which includes single mothers</w:t>
      </w:r>
      <w:r w:rsidR="00190014">
        <w:t xml:space="preserve"> who are </w:t>
      </w:r>
      <w:r w:rsidR="0080610C">
        <w:t>divorced</w:t>
      </w:r>
      <w:r w:rsidR="00190014">
        <w:t xml:space="preserve"> or</w:t>
      </w:r>
      <w:r w:rsidR="0080610C">
        <w:t xml:space="preserve"> widowed. </w:t>
      </w:r>
    </w:p>
    <w:p w14:paraId="302DC35C" w14:textId="07C76DF8" w:rsidR="007F61BF" w:rsidRDefault="00DC053A" w:rsidP="00D32CC1">
      <w:pPr>
        <w:jc w:val="both"/>
      </w:pPr>
      <w:r w:rsidRPr="00D75C40">
        <w:rPr>
          <w:rStyle w:val="A13"/>
          <w:sz w:val="22"/>
          <w:szCs w:val="22"/>
        </w:rPr>
        <w:t>Under the Alliance for Action (</w:t>
      </w:r>
      <w:proofErr w:type="spellStart"/>
      <w:r w:rsidRPr="00D75C40">
        <w:rPr>
          <w:rStyle w:val="A13"/>
          <w:sz w:val="22"/>
          <w:szCs w:val="22"/>
        </w:rPr>
        <w:t>AfA</w:t>
      </w:r>
      <w:proofErr w:type="spellEnd"/>
      <w:r w:rsidRPr="00D75C40">
        <w:rPr>
          <w:rStyle w:val="A13"/>
          <w:sz w:val="22"/>
          <w:szCs w:val="22"/>
        </w:rPr>
        <w:t xml:space="preserve">) to Strengthen Marriages and Family Relationships, the Government </w:t>
      </w:r>
      <w:r w:rsidR="6BB3831E" w:rsidRPr="5070E91D">
        <w:rPr>
          <w:rStyle w:val="A13"/>
          <w:sz w:val="22"/>
          <w:szCs w:val="22"/>
        </w:rPr>
        <w:t>has</w:t>
      </w:r>
      <w:r w:rsidR="3E33202A" w:rsidRPr="5070E91D">
        <w:rPr>
          <w:rStyle w:val="A13"/>
          <w:sz w:val="22"/>
          <w:szCs w:val="22"/>
        </w:rPr>
        <w:t xml:space="preserve"> </w:t>
      </w:r>
      <w:r w:rsidR="6D525BDF" w:rsidRPr="5070E91D">
        <w:rPr>
          <w:rStyle w:val="A13"/>
          <w:sz w:val="22"/>
          <w:szCs w:val="22"/>
        </w:rPr>
        <w:t>work</w:t>
      </w:r>
      <w:r w:rsidR="35A23260" w:rsidRPr="5070E91D">
        <w:rPr>
          <w:rStyle w:val="A13"/>
          <w:sz w:val="22"/>
          <w:szCs w:val="22"/>
        </w:rPr>
        <w:t>ed</w:t>
      </w:r>
      <w:r w:rsidRPr="00D75C40">
        <w:rPr>
          <w:rStyle w:val="A13"/>
          <w:sz w:val="22"/>
          <w:szCs w:val="22"/>
        </w:rPr>
        <w:t xml:space="preserve"> with community partners to strengthen support for single parents, the majority of whom are mothers</w:t>
      </w:r>
      <w:r>
        <w:rPr>
          <w:rStyle w:val="A13"/>
          <w:sz w:val="22"/>
          <w:szCs w:val="22"/>
        </w:rPr>
        <w:t>.</w:t>
      </w:r>
      <w:r w:rsidR="00D55B4A">
        <w:rPr>
          <w:rStyle w:val="A13"/>
          <w:sz w:val="22"/>
          <w:szCs w:val="22"/>
        </w:rPr>
        <w:t xml:space="preserve"> This </w:t>
      </w:r>
      <w:r w:rsidR="00A3175C">
        <w:rPr>
          <w:rStyle w:val="A13"/>
          <w:sz w:val="22"/>
          <w:szCs w:val="22"/>
        </w:rPr>
        <w:t>includes acces</w:t>
      </w:r>
      <w:r w:rsidR="0024030E">
        <w:rPr>
          <w:rStyle w:val="A13"/>
          <w:sz w:val="22"/>
          <w:szCs w:val="22"/>
        </w:rPr>
        <w:t xml:space="preserve">s to alternative childcare arrangements, emotional support and employment opportunities. </w:t>
      </w:r>
    </w:p>
    <w:p w14:paraId="40A04C27" w14:textId="25559A6C" w:rsidR="005609E7" w:rsidRPr="00EF27C2" w:rsidRDefault="00B45059" w:rsidP="00D32CC1">
      <w:pPr>
        <w:jc w:val="both"/>
      </w:pPr>
      <w:r>
        <w:t>To better support</w:t>
      </w:r>
      <w:r w:rsidR="00623904">
        <w:t xml:space="preserve"> women undergoing divorce, </w:t>
      </w:r>
      <w:r w:rsidR="00341B27">
        <w:t xml:space="preserve">the introduction of Divorce by mutual agreement (DMA) on 1 July 2024 as a sixth fact that </w:t>
      </w:r>
      <w:r w:rsidR="00EC45A1">
        <w:t>can</w:t>
      </w:r>
      <w:r w:rsidR="00341B27">
        <w:t xml:space="preserve"> be used </w:t>
      </w:r>
      <w:r w:rsidR="00EC45A1">
        <w:t>to prove</w:t>
      </w:r>
      <w:r w:rsidR="00341B27">
        <w:t xml:space="preserve"> the </w:t>
      </w:r>
      <w:r w:rsidR="00EC45A1">
        <w:t>irretrievable</w:t>
      </w:r>
      <w:r w:rsidR="00341B27">
        <w:t xml:space="preserve"> breakdown of marriage, couples will be able to </w:t>
      </w:r>
      <w:r w:rsidR="00591EC1">
        <w:t>reduce acrimony in the divorce process. The</w:t>
      </w:r>
      <w:r w:rsidR="0062554F">
        <w:t xml:space="preserve"> </w:t>
      </w:r>
      <w:r w:rsidR="00F84DFE">
        <w:t>G</w:t>
      </w:r>
      <w:r w:rsidR="0062554F">
        <w:t xml:space="preserve">overnment is also working towards enhancing programmes and policies to support parents to make informed decisions in the best interest of the children. </w:t>
      </w:r>
    </w:p>
    <w:p w14:paraId="03EB395C" w14:textId="6011EC50" w:rsidR="00B66235" w:rsidRDefault="0037691A" w:rsidP="00F63AF0">
      <w:pPr>
        <w:pStyle w:val="BodyText2"/>
      </w:pPr>
      <w:r>
        <w:t>Furthermore</w:t>
      </w:r>
      <w:r w:rsidR="00311F33">
        <w:t xml:space="preserve">, </w:t>
      </w:r>
      <w:r w:rsidR="00314017">
        <w:t>t</w:t>
      </w:r>
      <w:r w:rsidR="00314017" w:rsidRPr="00314017">
        <w:t xml:space="preserve">he Government has introduced a new Maintenance Enforcement Process (“MEP”), which </w:t>
      </w:r>
      <w:r w:rsidR="00757F4D">
        <w:t>was introduced as part of the Family Justice Reform Act</w:t>
      </w:r>
      <w:r w:rsidR="001F201C">
        <w:t>, that was passed in</w:t>
      </w:r>
      <w:r w:rsidR="00757F4D">
        <w:t xml:space="preserve"> </w:t>
      </w:r>
      <w:r w:rsidR="00F37D95">
        <w:t xml:space="preserve">Parliament in 2023. </w:t>
      </w:r>
      <w:r w:rsidR="00685ACE">
        <w:t>The MEP</w:t>
      </w:r>
      <w:r w:rsidR="00314017" w:rsidRPr="00314017">
        <w:t xml:space="preserve"> will deter the non-payment of maintenance</w:t>
      </w:r>
      <w:r w:rsidR="00916F03">
        <w:t xml:space="preserve"> (e.</w:t>
      </w:r>
      <w:r w:rsidR="006B19CE">
        <w:t xml:space="preserve">g. </w:t>
      </w:r>
      <w:r w:rsidR="00B40977">
        <w:t>child and spo</w:t>
      </w:r>
      <w:r w:rsidR="00945157">
        <w:t>usal maintenance</w:t>
      </w:r>
      <w:r w:rsidR="00685ACE">
        <w:t>)</w:t>
      </w:r>
      <w:r w:rsidR="00314017" w:rsidRPr="00314017">
        <w:t xml:space="preserve"> and make enforcement easier </w:t>
      </w:r>
      <w:r w:rsidR="00F377B5">
        <w:t xml:space="preserve">when there </w:t>
      </w:r>
      <w:r w:rsidR="003E65D1">
        <w:t>is</w:t>
      </w:r>
      <w:r w:rsidR="009E6D02" w:rsidRPr="00314017">
        <w:t xml:space="preserve"> </w:t>
      </w:r>
      <w:r w:rsidR="00314017" w:rsidRPr="00314017">
        <w:t>non-payment</w:t>
      </w:r>
      <w:r w:rsidR="003E65D1">
        <w:t xml:space="preserve"> of maintenance</w:t>
      </w:r>
      <w:r w:rsidR="00314017" w:rsidRPr="00314017">
        <w:t>.</w:t>
      </w:r>
      <w:r w:rsidR="009E6D02">
        <w:t xml:space="preserve"> </w:t>
      </w:r>
      <w:r w:rsidR="00685ACE">
        <w:t xml:space="preserve">This is done through the </w:t>
      </w:r>
      <w:r w:rsidR="00F3628C">
        <w:t>e</w:t>
      </w:r>
      <w:r w:rsidR="00D4790F">
        <w:t xml:space="preserve">stablishment of a new unit of Maintenance Enforcement Officers (MEOs) who will </w:t>
      </w:r>
      <w:r w:rsidR="009F1281" w:rsidRPr="009F1281">
        <w:t xml:space="preserve">conduct fact-finding on the parties’ financial situation, and are empowered to obtain financial information directly from specified third parties such as banks and certain </w:t>
      </w:r>
      <w:r w:rsidR="00F84DFE">
        <w:t>G</w:t>
      </w:r>
      <w:r w:rsidR="009F1281" w:rsidRPr="009F1281">
        <w:t>overnment agencies if the parties fail to provide the financial information.</w:t>
      </w:r>
      <w:r w:rsidR="00517352">
        <w:t xml:space="preserve"> </w:t>
      </w:r>
      <w:r w:rsidR="00053391">
        <w:t xml:space="preserve">The MEOs will also conduct conciliation to help parties find an amicable and feasible solution. Respondents who cannot pay will be </w:t>
      </w:r>
      <w:r w:rsidR="007C7530">
        <w:t>channelled</w:t>
      </w:r>
      <w:r w:rsidR="00053391">
        <w:t xml:space="preserve"> to appropriate assistance, while respondents who refuse to pay maintenance can be dealt with more decisively by the Courts. These measures are intended to create more sustainable outcomes and reduce the need for repeat applications.  </w:t>
      </w:r>
    </w:p>
    <w:p w14:paraId="4DCE05DA" w14:textId="784342D2" w:rsidR="00BC7EDE" w:rsidRPr="009710D8" w:rsidRDefault="00BC7EDE" w:rsidP="0063474C">
      <w:pPr>
        <w:pStyle w:val="BodyText2"/>
        <w:numPr>
          <w:ilvl w:val="0"/>
          <w:numId w:val="86"/>
        </w:numPr>
        <w:rPr>
          <w:b/>
          <w:bCs/>
        </w:rPr>
      </w:pPr>
      <w:r w:rsidRPr="009710D8">
        <w:rPr>
          <w:b/>
          <w:bCs/>
        </w:rPr>
        <w:t xml:space="preserve">Support for women with disabilities </w:t>
      </w:r>
    </w:p>
    <w:p w14:paraId="0C8BC1C2" w14:textId="39DF7D50" w:rsidR="005F41B0" w:rsidRDefault="00734543" w:rsidP="150DA070">
      <w:pPr>
        <w:spacing w:before="120" w:after="120"/>
        <w:jc w:val="both"/>
        <w:rPr>
          <w:rFonts w:cs="Arial"/>
        </w:rPr>
      </w:pPr>
      <w:r>
        <w:rPr>
          <w:rFonts w:cs="Arial"/>
        </w:rPr>
        <w:t xml:space="preserve">The </w:t>
      </w:r>
      <w:r w:rsidR="00F84DFE">
        <w:rPr>
          <w:rFonts w:cs="Arial"/>
        </w:rPr>
        <w:t>G</w:t>
      </w:r>
      <w:r>
        <w:rPr>
          <w:rFonts w:cs="Arial"/>
        </w:rPr>
        <w:t>overnment</w:t>
      </w:r>
      <w:r w:rsidR="00946037" w:rsidRPr="43AE7210">
        <w:rPr>
          <w:rFonts w:cs="Arial"/>
        </w:rPr>
        <w:t xml:space="preserve"> is committed to building an inclusive society where persons with disabilities are enabled to pursue their aspirations, achieve their potential, and participate as equal, integral, and contributing members of society.</w:t>
      </w:r>
    </w:p>
    <w:p w14:paraId="3807F4E0" w14:textId="7C6F941F" w:rsidR="00BA7861" w:rsidRPr="009710D8" w:rsidRDefault="005F41B0" w:rsidP="009710D8">
      <w:pPr>
        <w:spacing w:before="120" w:after="120"/>
        <w:jc w:val="both"/>
        <w:rPr>
          <w:rFonts w:cs="Arial"/>
          <w:szCs w:val="24"/>
        </w:rPr>
      </w:pPr>
      <w:r>
        <w:rPr>
          <w:rFonts w:cs="Arial"/>
          <w:szCs w:val="24"/>
        </w:rPr>
        <w:t>Singapore’s</w:t>
      </w:r>
      <w:r w:rsidR="00946037" w:rsidRPr="00091450">
        <w:rPr>
          <w:rFonts w:cs="Arial"/>
          <w:szCs w:val="24"/>
        </w:rPr>
        <w:t xml:space="preserve"> efforts to achieve this vision are guided by our national roadmaps, called the Enabling Masterplans. These long-term plans guide the efforts of the Government, people, and private sectors to build a more inclusive Singapore. It takes a systemic whole-of-life approach to supporting persons with disabilities, in areas such as education, employment, independent living, and public spaces. All iterations of the masterplans, including the latest Enabling Masterplan 2030 (EMP2030), were developed in close consultation with persons with disabilities.</w:t>
      </w:r>
      <w:r w:rsidR="00BA7861">
        <w:rPr>
          <w:rFonts w:cs="Arial"/>
          <w:szCs w:val="24"/>
        </w:rPr>
        <w:t xml:space="preserve"> </w:t>
      </w:r>
    </w:p>
    <w:p w14:paraId="5CBB7894" w14:textId="77777777" w:rsidR="00C551C4" w:rsidRPr="009710D8" w:rsidRDefault="00C551C4" w:rsidP="009710D8">
      <w:pPr>
        <w:spacing w:before="120" w:after="120"/>
        <w:jc w:val="both"/>
        <w:rPr>
          <w:rFonts w:cs="Arial"/>
          <w:szCs w:val="24"/>
        </w:rPr>
      </w:pPr>
    </w:p>
    <w:p w14:paraId="15152EE3" w14:textId="166741C1" w:rsidR="00F267B7" w:rsidRDefault="00FF3D43" w:rsidP="00383692">
      <w:pPr>
        <w:pStyle w:val="Heading2"/>
        <w:rPr>
          <w:b/>
          <w:u w:val="single"/>
        </w:rPr>
      </w:pPr>
      <w:bookmarkStart w:id="7" w:name="_Toc169709870"/>
      <w:r>
        <w:rPr>
          <w:b/>
          <w:bCs/>
        </w:rPr>
        <w:lastRenderedPageBreak/>
        <w:t>E.</w:t>
      </w:r>
      <w:r>
        <w:rPr>
          <w:b/>
          <w:bCs/>
        </w:rPr>
        <w:tab/>
      </w:r>
      <w:r w:rsidR="00CA3F2A" w:rsidRPr="00E300B3">
        <w:rPr>
          <w:b/>
          <w:bCs/>
          <w:u w:val="single"/>
        </w:rPr>
        <w:t xml:space="preserve">Mindset </w:t>
      </w:r>
      <w:r w:rsidR="00DF5AE9">
        <w:rPr>
          <w:b/>
          <w:bCs/>
          <w:u w:val="single"/>
        </w:rPr>
        <w:t>S</w:t>
      </w:r>
      <w:r w:rsidR="00CA3F2A" w:rsidRPr="00E300B3">
        <w:rPr>
          <w:b/>
          <w:bCs/>
          <w:u w:val="single"/>
        </w:rPr>
        <w:t>hifts</w:t>
      </w:r>
      <w:bookmarkEnd w:id="7"/>
    </w:p>
    <w:p w14:paraId="0B97E9A7" w14:textId="070CF235" w:rsidR="00DD3761" w:rsidRDefault="00CA1B58" w:rsidP="00273A85">
      <w:pPr>
        <w:jc w:val="both"/>
      </w:pPr>
      <w:r>
        <w:br/>
      </w:r>
      <w:r w:rsidR="00D362BB">
        <w:t>While Singapore women have achieved significant progress over the years</w:t>
      </w:r>
      <w:r w:rsidR="00F72457">
        <w:t>,</w:t>
      </w:r>
      <w:r w:rsidR="00F71EC6">
        <w:t xml:space="preserve"> fundamental mindset shifts are needed to make the next bound of progress. </w:t>
      </w:r>
    </w:p>
    <w:p w14:paraId="32E0C5BD" w14:textId="6B4D4818" w:rsidR="008743D9" w:rsidRDefault="008743D9" w:rsidP="00273A85">
      <w:pPr>
        <w:jc w:val="both"/>
      </w:pPr>
      <w:r w:rsidRPr="008743D9">
        <w:t xml:space="preserve">Conscious and unconscious biases continue to exist, and we see this manifested in various ways, including in the home where women tend to take on more caregiving responsibilities, and in the workplace where men are reluctant to take up their paternity leave because of the fear of being perceived to be less committed to their jobs. Whole-of-society mindset shifts are needed to overcome stereotypes – it starts from the home where parents model respectful and equitable relationships, from schools where we educate our young, and in society where can raise awareness on the importance of ensuring that our words and actions do not perpetuate gender biases.  </w:t>
      </w:r>
    </w:p>
    <w:p w14:paraId="7FDAE0A3" w14:textId="11E08095" w:rsidR="000E0354" w:rsidRPr="00E300B3" w:rsidRDefault="00FF3D43" w:rsidP="00E300B3">
      <w:pPr>
        <w:pStyle w:val="Heading2"/>
        <w:rPr>
          <w:b/>
          <w:bCs/>
          <w:u w:val="single"/>
        </w:rPr>
      </w:pPr>
      <w:bookmarkStart w:id="8" w:name="_Toc169709871"/>
      <w:r>
        <w:rPr>
          <w:b/>
          <w:bCs/>
        </w:rPr>
        <w:t>F.</w:t>
      </w:r>
      <w:r>
        <w:rPr>
          <w:b/>
          <w:bCs/>
        </w:rPr>
        <w:tab/>
      </w:r>
      <w:r w:rsidR="00753A6F" w:rsidRPr="00E300B3">
        <w:rPr>
          <w:b/>
          <w:bCs/>
          <w:u w:val="single"/>
        </w:rPr>
        <w:t xml:space="preserve">Impact of COVID-19 on </w:t>
      </w:r>
      <w:r w:rsidR="00DF5AE9">
        <w:rPr>
          <w:b/>
          <w:bCs/>
          <w:u w:val="single"/>
        </w:rPr>
        <w:t>I</w:t>
      </w:r>
      <w:r w:rsidR="00753A6F" w:rsidRPr="00E300B3">
        <w:rPr>
          <w:b/>
          <w:bCs/>
          <w:u w:val="single"/>
        </w:rPr>
        <w:t xml:space="preserve">mplementation of </w:t>
      </w:r>
      <w:r w:rsidR="008B6B13">
        <w:rPr>
          <w:b/>
          <w:bCs/>
          <w:u w:val="single"/>
        </w:rPr>
        <w:t>BDPA</w:t>
      </w:r>
      <w:bookmarkEnd w:id="8"/>
    </w:p>
    <w:p w14:paraId="06FAA070" w14:textId="5F1B602B" w:rsidR="00851742" w:rsidRDefault="00CB159B" w:rsidP="00025863">
      <w:pPr>
        <w:jc w:val="both"/>
      </w:pPr>
      <w:r>
        <w:br/>
      </w:r>
      <w:r w:rsidR="00837DD0">
        <w:t xml:space="preserve">Singapore </w:t>
      </w:r>
      <w:r w:rsidR="00C37464">
        <w:t xml:space="preserve">saw </w:t>
      </w:r>
      <w:r w:rsidR="000539BA">
        <w:t>the</w:t>
      </w:r>
      <w:r w:rsidR="00C37464">
        <w:t xml:space="preserve"> impact of </w:t>
      </w:r>
      <w:r w:rsidR="001A71C9">
        <w:t>COVID-19</w:t>
      </w:r>
      <w:r w:rsidR="00C67630">
        <w:t xml:space="preserve"> </w:t>
      </w:r>
      <w:r w:rsidR="0014659B">
        <w:t xml:space="preserve">on </w:t>
      </w:r>
      <w:r w:rsidR="00C37464">
        <w:t xml:space="preserve">the economy, </w:t>
      </w:r>
      <w:r w:rsidR="00851742" w:rsidRPr="00851742">
        <w:t xml:space="preserve">yet there were marginal disparities in its employment </w:t>
      </w:r>
      <w:r w:rsidR="00851742" w:rsidRPr="000330FE">
        <w:t xml:space="preserve">effects between genders. Notably, the female employment rate rose from 2019 to 2021. A </w:t>
      </w:r>
      <w:proofErr w:type="spellStart"/>
      <w:r w:rsidR="00851742" w:rsidRPr="000330FE">
        <w:t>favorable</w:t>
      </w:r>
      <w:proofErr w:type="spellEnd"/>
      <w:r w:rsidR="00851742" w:rsidRPr="000330FE">
        <w:t xml:space="preserve"> trend observed amidst the pandemic was the increased adoption of </w:t>
      </w:r>
      <w:r w:rsidR="00ED17AB" w:rsidRPr="000330FE">
        <w:t>FWAs</w:t>
      </w:r>
      <w:r w:rsidR="00851742" w:rsidRPr="000330FE">
        <w:t xml:space="preserve">, </w:t>
      </w:r>
      <w:r w:rsidR="00415709" w:rsidRPr="000330FE">
        <w:t>helping</w:t>
      </w:r>
      <w:r w:rsidR="00851742" w:rsidRPr="000330FE">
        <w:t xml:space="preserve"> both genders in balancing professional and </w:t>
      </w:r>
      <w:r w:rsidR="00412EB3" w:rsidRPr="000330FE">
        <w:t>obligations at home</w:t>
      </w:r>
      <w:r w:rsidR="00851742" w:rsidRPr="000330FE">
        <w:t xml:space="preserve">. </w:t>
      </w:r>
      <w:r w:rsidR="000E1446" w:rsidRPr="000330FE">
        <w:t xml:space="preserve">These arrangements have allowed women to participate more fully in </w:t>
      </w:r>
      <w:r w:rsidR="00BE0BAB">
        <w:t>employment</w:t>
      </w:r>
      <w:r w:rsidR="000E1446" w:rsidRPr="000330FE">
        <w:t xml:space="preserve">, </w:t>
      </w:r>
      <w:r w:rsidR="00522FF1" w:rsidRPr="000330FE">
        <w:t xml:space="preserve">as </w:t>
      </w:r>
      <w:r w:rsidR="00BD4F4A">
        <w:t>resident</w:t>
      </w:r>
      <w:r w:rsidR="00BD4F4A" w:rsidRPr="000330FE">
        <w:t xml:space="preserve"> </w:t>
      </w:r>
      <w:r w:rsidR="00522FF1" w:rsidRPr="000330FE">
        <w:t xml:space="preserve">employment rate </w:t>
      </w:r>
      <w:r w:rsidR="0083213A">
        <w:t xml:space="preserve">for females aged 25-64 </w:t>
      </w:r>
      <w:r w:rsidR="00522FF1" w:rsidRPr="000330FE">
        <w:t xml:space="preserve">have </w:t>
      </w:r>
      <w:r w:rsidR="00C652AE" w:rsidRPr="000330FE">
        <w:t xml:space="preserve">increased from </w:t>
      </w:r>
      <w:r w:rsidR="0083213A">
        <w:t>72.3% in 2018</w:t>
      </w:r>
      <w:r w:rsidR="00C652AE" w:rsidRPr="000330FE">
        <w:t xml:space="preserve"> to 76.6% in 2023</w:t>
      </w:r>
      <w:r w:rsidR="00522FF1" w:rsidRPr="000330FE">
        <w:t>.</w:t>
      </w:r>
    </w:p>
    <w:p w14:paraId="323B55B4" w14:textId="50AF95F1" w:rsidR="006C32EA" w:rsidRDefault="0014659B" w:rsidP="00025863">
      <w:pPr>
        <w:jc w:val="both"/>
      </w:pPr>
      <w:r>
        <w:t>However, the</w:t>
      </w:r>
      <w:r w:rsidR="002C1AB1">
        <w:t xml:space="preserve"> pandemic </w:t>
      </w:r>
      <w:r w:rsidR="002608EB" w:rsidRPr="002608EB">
        <w:t xml:space="preserve">has shone a spotlight on persistent discrepancies in gender roles at home, </w:t>
      </w:r>
      <w:r w:rsidR="00897B08" w:rsidRPr="00897B08">
        <w:t>with women shouldering a disproportionately higher load.</w:t>
      </w:r>
      <w:r w:rsidR="00897B08">
        <w:t xml:space="preserve"> </w:t>
      </w:r>
    </w:p>
    <w:p w14:paraId="5B8D5F9A" w14:textId="6C4CDE67" w:rsidR="002608EB" w:rsidRDefault="00906B23" w:rsidP="006563A3">
      <w:pPr>
        <w:jc w:val="both"/>
      </w:pPr>
      <w:r>
        <w:t>To address some of these impacts, m</w:t>
      </w:r>
      <w:r w:rsidR="001017C3">
        <w:t xml:space="preserve">easures were put in place to </w:t>
      </w:r>
      <w:r w:rsidR="0078231C">
        <w:t>provide more support for women</w:t>
      </w:r>
      <w:r w:rsidR="00E96D28">
        <w:t xml:space="preserve"> in businesses; healthcare including mental health; </w:t>
      </w:r>
      <w:r w:rsidR="00257727">
        <w:t>and education</w:t>
      </w:r>
      <w:r w:rsidR="00E71237">
        <w:t xml:space="preserve"> by increasing access that girls have. </w:t>
      </w:r>
    </w:p>
    <w:p w14:paraId="4D9392FD" w14:textId="20E32502" w:rsidR="007C5276" w:rsidRPr="00E300B3" w:rsidRDefault="00FF3D43" w:rsidP="00E300B3">
      <w:pPr>
        <w:pStyle w:val="Heading2"/>
        <w:rPr>
          <w:b/>
          <w:bCs/>
          <w:u w:val="single"/>
        </w:rPr>
      </w:pPr>
      <w:bookmarkStart w:id="9" w:name="_Toc169709872"/>
      <w:r>
        <w:rPr>
          <w:b/>
          <w:bCs/>
        </w:rPr>
        <w:t>G.</w:t>
      </w:r>
      <w:r>
        <w:rPr>
          <w:b/>
          <w:bCs/>
        </w:rPr>
        <w:tab/>
      </w:r>
      <w:r w:rsidR="00B13676">
        <w:rPr>
          <w:b/>
          <w:bCs/>
          <w:u w:val="single"/>
        </w:rPr>
        <w:t>Singapore’s</w:t>
      </w:r>
      <w:r w:rsidR="00B13676" w:rsidRPr="00E300B3">
        <w:rPr>
          <w:b/>
          <w:bCs/>
          <w:u w:val="single"/>
        </w:rPr>
        <w:t xml:space="preserve"> </w:t>
      </w:r>
      <w:r w:rsidR="00DF5AE9">
        <w:rPr>
          <w:b/>
          <w:bCs/>
          <w:u w:val="single"/>
        </w:rPr>
        <w:t>O</w:t>
      </w:r>
      <w:r w:rsidR="00141675">
        <w:rPr>
          <w:b/>
          <w:bCs/>
          <w:u w:val="single"/>
        </w:rPr>
        <w:t xml:space="preserve">ngoing </w:t>
      </w:r>
      <w:r w:rsidR="00DF5AE9">
        <w:rPr>
          <w:b/>
          <w:bCs/>
          <w:u w:val="single"/>
        </w:rPr>
        <w:t>P</w:t>
      </w:r>
      <w:r w:rsidR="007C5276" w:rsidRPr="00E300B3">
        <w:rPr>
          <w:b/>
          <w:bCs/>
          <w:u w:val="single"/>
        </w:rPr>
        <w:t>riorities</w:t>
      </w:r>
      <w:bookmarkEnd w:id="9"/>
    </w:p>
    <w:p w14:paraId="24826D55" w14:textId="77777777" w:rsidR="00DE33AF" w:rsidRDefault="00DE33AF" w:rsidP="00235975">
      <w:pPr>
        <w:pStyle w:val="ListParagraph"/>
        <w:ind w:left="0"/>
      </w:pPr>
    </w:p>
    <w:p w14:paraId="754B2DCA" w14:textId="091510A6" w:rsidR="00DE4337" w:rsidRDefault="00EF666B" w:rsidP="00D50D4F">
      <w:pPr>
        <w:pStyle w:val="ListParagraph"/>
        <w:ind w:left="0"/>
        <w:jc w:val="both"/>
      </w:pPr>
      <w:r>
        <w:t xml:space="preserve">The five areas </w:t>
      </w:r>
      <w:r w:rsidR="00235975">
        <w:t xml:space="preserve">above will continue to be </w:t>
      </w:r>
      <w:r w:rsidR="00BE592D">
        <w:t xml:space="preserve">our ongoing </w:t>
      </w:r>
      <w:r w:rsidR="00235975">
        <w:t>priorities</w:t>
      </w:r>
      <w:r w:rsidR="00BB6268">
        <w:t xml:space="preserve"> for accelerating progress for women and girls in Singapore</w:t>
      </w:r>
      <w:r w:rsidR="00235975">
        <w:t xml:space="preserve">. </w:t>
      </w:r>
    </w:p>
    <w:p w14:paraId="2E787957" w14:textId="77777777" w:rsidR="00DE4337" w:rsidRDefault="00DE4337" w:rsidP="00D50D4F">
      <w:pPr>
        <w:pStyle w:val="ListParagraph"/>
        <w:ind w:left="0"/>
        <w:jc w:val="both"/>
      </w:pPr>
    </w:p>
    <w:p w14:paraId="783F366F" w14:textId="2382235D" w:rsidR="00C6353E" w:rsidRDefault="00BB6268" w:rsidP="00D50D4F">
      <w:pPr>
        <w:pStyle w:val="ListParagraph"/>
        <w:ind w:left="0"/>
        <w:jc w:val="both"/>
      </w:pPr>
      <w:r>
        <w:t xml:space="preserve">As part of the White Paper, </w:t>
      </w:r>
      <w:r w:rsidR="00C6353E">
        <w:t xml:space="preserve">25 </w:t>
      </w:r>
      <w:r w:rsidR="00082620">
        <w:t>collective action plans were set out</w:t>
      </w:r>
      <w:r w:rsidR="00A86035">
        <w:t xml:space="preserve"> in these five areas by the Government and the community, reflecting </w:t>
      </w:r>
      <w:r w:rsidR="001F2023">
        <w:t>whole-of-society efforts required to advance Singapore women’s development.</w:t>
      </w:r>
      <w:r w:rsidR="00A11818">
        <w:t xml:space="preserve"> </w:t>
      </w:r>
      <w:r w:rsidR="008503A7" w:rsidRPr="008503A7">
        <w:t>They aim to support the diverse aspirations of and challenges faced by Singapore women at different life-stages, centring around our shared values of fairness, equality, respect and solidarity.</w:t>
      </w:r>
      <w:r w:rsidR="008503A7">
        <w:t xml:space="preserve"> </w:t>
      </w:r>
    </w:p>
    <w:p w14:paraId="13240F34" w14:textId="77777777" w:rsidR="004D797C" w:rsidRDefault="004D797C" w:rsidP="00D50D4F">
      <w:pPr>
        <w:pStyle w:val="ListParagraph"/>
        <w:ind w:left="0"/>
        <w:jc w:val="both"/>
      </w:pPr>
    </w:p>
    <w:p w14:paraId="20959C9C" w14:textId="5809003C" w:rsidR="006202AD" w:rsidRDefault="005D31AF" w:rsidP="00D50D4F">
      <w:pPr>
        <w:pStyle w:val="ListParagraph"/>
        <w:ind w:left="0"/>
        <w:jc w:val="both"/>
      </w:pPr>
      <w:r>
        <w:t xml:space="preserve">For instance, </w:t>
      </w:r>
      <w:r w:rsidR="00F23273">
        <w:t xml:space="preserve">to </w:t>
      </w:r>
      <w:r w:rsidR="00EE4D1F">
        <w:t xml:space="preserve">strengthen protection against workplace discrimination, </w:t>
      </w:r>
      <w:r w:rsidR="00CD4A4D">
        <w:t>the new Workplace Fairness Legislation</w:t>
      </w:r>
      <w:r w:rsidR="00D84BD8">
        <w:t xml:space="preserve"> will be introduced in Parliament this year. </w:t>
      </w:r>
      <w:r w:rsidR="00CF18EA">
        <w:t xml:space="preserve">To provide more support for caregivers, </w:t>
      </w:r>
      <w:r w:rsidR="00DC2D5D">
        <w:t>the Government has introduced guidelines on Flexible Work Arrangement (FWA) Requests, which will come into effect this year.</w:t>
      </w:r>
    </w:p>
    <w:p w14:paraId="20E81787" w14:textId="77777777" w:rsidR="006202AD" w:rsidRDefault="006202AD" w:rsidP="00D50D4F">
      <w:pPr>
        <w:pStyle w:val="ListParagraph"/>
        <w:ind w:left="0"/>
        <w:jc w:val="both"/>
      </w:pPr>
    </w:p>
    <w:p w14:paraId="2BE69C22" w14:textId="360AA364" w:rsidR="004D797C" w:rsidRDefault="00256782" w:rsidP="00D50D4F">
      <w:pPr>
        <w:pStyle w:val="ListParagraph"/>
        <w:ind w:left="0"/>
        <w:jc w:val="both"/>
      </w:pPr>
      <w:r>
        <w:t xml:space="preserve">To </w:t>
      </w:r>
      <w:r w:rsidR="00E0530E">
        <w:t xml:space="preserve">address issues </w:t>
      </w:r>
      <w:r w:rsidR="00896A31">
        <w:t xml:space="preserve">around women’s participation in the workplace, </w:t>
      </w:r>
      <w:r w:rsidR="00A1440D">
        <w:t xml:space="preserve">especially in leadership roles, we have </w:t>
      </w:r>
      <w:r w:rsidR="005B6A35">
        <w:t>r</w:t>
      </w:r>
      <w:r w:rsidR="005B6A35" w:rsidRPr="005B6A35">
        <w:t xml:space="preserve">evised Singapore Exchange Listing Rules and Practice Guidance to the Code of Corporate Governance to </w:t>
      </w:r>
      <w:r w:rsidR="005B6A35" w:rsidRPr="005B6A35">
        <w:lastRenderedPageBreak/>
        <w:t>support greater board diversity, including gender diversity</w:t>
      </w:r>
      <w:r w:rsidR="005B6A35">
        <w:t xml:space="preserve">. </w:t>
      </w:r>
      <w:r w:rsidR="00621005">
        <w:t xml:space="preserve">We will continue to </w:t>
      </w:r>
      <w:r w:rsidR="00951795">
        <w:t>increase</w:t>
      </w:r>
      <w:r w:rsidR="00C54CFF">
        <w:t xml:space="preserve"> women’s representation on boards with efforts led by the Council for Board Diversity.</w:t>
      </w:r>
    </w:p>
    <w:p w14:paraId="2B8CBD26" w14:textId="77777777" w:rsidR="00AE4B39" w:rsidRDefault="00AE4B39" w:rsidP="00D50D4F">
      <w:pPr>
        <w:pStyle w:val="ListParagraph"/>
        <w:ind w:left="0"/>
        <w:jc w:val="both"/>
      </w:pPr>
    </w:p>
    <w:p w14:paraId="16C6CEDF" w14:textId="751C1280" w:rsidR="00AE4B39" w:rsidRDefault="00AE4B39" w:rsidP="00D50D4F">
      <w:pPr>
        <w:pStyle w:val="ListParagraph"/>
        <w:ind w:left="0"/>
        <w:jc w:val="both"/>
      </w:pPr>
      <w:r>
        <w:t>To reduce caregivers’ financial strain, Singapore has enhanced the Home Caregiving Grant (HCG)</w:t>
      </w:r>
      <w:r w:rsidR="008B56E5">
        <w:t xml:space="preserve"> and expanded the Seniors’ Mobility and Enabling Fund (SMF)</w:t>
      </w:r>
      <w:r w:rsidR="00333158">
        <w:t xml:space="preserve">. </w:t>
      </w:r>
      <w:r w:rsidR="0009395B">
        <w:t>Furthermore</w:t>
      </w:r>
      <w:r w:rsidR="00333158">
        <w:t>, to enhance support for caregivers of persons with disabilities (</w:t>
      </w:r>
      <w:proofErr w:type="spellStart"/>
      <w:r w:rsidR="00333158">
        <w:t>PwDs</w:t>
      </w:r>
      <w:proofErr w:type="spellEnd"/>
      <w:r w:rsidR="00333158">
        <w:t>) and children with developmental needs, Singapore has</w:t>
      </w:r>
      <w:r w:rsidR="0009395B" w:rsidRPr="0009395B">
        <w:t xml:space="preserve"> </w:t>
      </w:r>
      <w:r w:rsidR="0009395B">
        <w:t>e</w:t>
      </w:r>
      <w:r w:rsidR="0009395B" w:rsidRPr="0009395B">
        <w:t>nhance</w:t>
      </w:r>
      <w:r w:rsidR="0009395B">
        <w:t>d</w:t>
      </w:r>
      <w:r w:rsidR="0009395B" w:rsidRPr="0009395B">
        <w:t xml:space="preserve"> inclusion and support for preschool children with developmental needs and their caregivers</w:t>
      </w:r>
      <w:r w:rsidR="00C0622D">
        <w:t>.</w:t>
      </w:r>
    </w:p>
    <w:p w14:paraId="397C0379" w14:textId="77777777" w:rsidR="00235975" w:rsidRDefault="00235975" w:rsidP="00D50D4F">
      <w:pPr>
        <w:pStyle w:val="ListParagraph"/>
        <w:ind w:left="0"/>
        <w:jc w:val="both"/>
      </w:pPr>
    </w:p>
    <w:p w14:paraId="779AC93A" w14:textId="189F5042" w:rsidR="00874505" w:rsidRDefault="00874505">
      <w:pPr>
        <w:spacing w:line="259" w:lineRule="auto"/>
        <w:rPr>
          <w:rFonts w:asciiTheme="majorHAnsi" w:eastAsiaTheme="majorEastAsia" w:hAnsiTheme="majorHAnsi" w:cstheme="majorBidi"/>
          <w:b/>
          <w:bCs/>
          <w:color w:val="2F5496" w:themeColor="accent1" w:themeShade="BF"/>
          <w:sz w:val="32"/>
          <w:szCs w:val="32"/>
          <w:u w:val="single"/>
        </w:rPr>
      </w:pPr>
      <w:r>
        <w:rPr>
          <w:b/>
          <w:bCs/>
          <w:u w:val="single"/>
        </w:rPr>
        <w:br w:type="page"/>
      </w:r>
    </w:p>
    <w:p w14:paraId="63B28264" w14:textId="54E5E210" w:rsidR="7F3E43CD" w:rsidRDefault="6B47BC25" w:rsidP="00383692">
      <w:pPr>
        <w:pStyle w:val="Heading1"/>
        <w:rPr>
          <w:b/>
          <w:sz w:val="40"/>
          <w:szCs w:val="40"/>
          <w:u w:val="single"/>
        </w:rPr>
      </w:pPr>
      <w:bookmarkStart w:id="10" w:name="_Toc169709873"/>
      <w:r w:rsidRPr="00FF3D43">
        <w:rPr>
          <w:b/>
          <w:bCs/>
          <w:sz w:val="40"/>
          <w:szCs w:val="40"/>
          <w:u w:val="single"/>
        </w:rPr>
        <w:lastRenderedPageBreak/>
        <w:t>Section Three: Progress in the implementation of the critical areas of concern of the Platform for Action since 2020</w:t>
      </w:r>
      <w:bookmarkEnd w:id="10"/>
    </w:p>
    <w:p w14:paraId="4C8118D1" w14:textId="77777777" w:rsidR="00383692" w:rsidRPr="00383692" w:rsidRDefault="00383692" w:rsidP="00383692"/>
    <w:p w14:paraId="4DB81353" w14:textId="0F378BFD" w:rsidR="004841F5" w:rsidRDefault="3842B804" w:rsidP="00FF3D43">
      <w:pPr>
        <w:pStyle w:val="Heading2"/>
      </w:pPr>
      <w:bookmarkStart w:id="11" w:name="_Toc169709874"/>
      <w:r w:rsidRPr="00CD09A0">
        <w:rPr>
          <w:rStyle w:val="Heading2Char"/>
          <w:b/>
          <w:bCs/>
          <w:sz w:val="28"/>
          <w:szCs w:val="28"/>
          <w:u w:val="single"/>
        </w:rPr>
        <w:t>Inclusive development, shared prosperity, and decent work</w:t>
      </w:r>
      <w:bookmarkEnd w:id="11"/>
      <w:r w:rsidRPr="004E4480">
        <w:rPr>
          <w:sz w:val="24"/>
          <w:szCs w:val="24"/>
        </w:rPr>
        <w:br/>
      </w:r>
    </w:p>
    <w:p w14:paraId="713660AA" w14:textId="3476AE82" w:rsidR="00765CEF" w:rsidRPr="00B55592" w:rsidRDefault="00470E38" w:rsidP="00B55592">
      <w:pPr>
        <w:pStyle w:val="Heading3"/>
        <w:rPr>
          <w:b/>
          <w:bCs/>
          <w:u w:val="single"/>
        </w:rPr>
      </w:pPr>
      <w:bookmarkStart w:id="12" w:name="_Toc169709875"/>
      <w:r w:rsidRPr="00470E38">
        <w:rPr>
          <w:b/>
          <w:bCs/>
        </w:rPr>
        <w:t>A.</w:t>
      </w:r>
      <w:r w:rsidRPr="00470E38">
        <w:rPr>
          <w:b/>
          <w:bCs/>
        </w:rPr>
        <w:tab/>
        <w:t xml:space="preserve"> </w:t>
      </w:r>
      <w:r w:rsidR="001606A6">
        <w:rPr>
          <w:b/>
          <w:bCs/>
          <w:u w:val="single"/>
        </w:rPr>
        <w:t xml:space="preserve">Promoting </w:t>
      </w:r>
      <w:r w:rsidR="00DF5AE9">
        <w:rPr>
          <w:b/>
          <w:bCs/>
          <w:u w:val="single"/>
        </w:rPr>
        <w:t>G</w:t>
      </w:r>
      <w:r w:rsidR="000078FC" w:rsidRPr="00B55592">
        <w:rPr>
          <w:b/>
          <w:bCs/>
          <w:u w:val="single"/>
        </w:rPr>
        <w:t xml:space="preserve">ender </w:t>
      </w:r>
      <w:r w:rsidR="00DF5AE9">
        <w:rPr>
          <w:b/>
          <w:bCs/>
          <w:u w:val="single"/>
        </w:rPr>
        <w:t>E</w:t>
      </w:r>
      <w:r w:rsidR="000078FC" w:rsidRPr="00B55592">
        <w:rPr>
          <w:b/>
          <w:bCs/>
          <w:u w:val="single"/>
        </w:rPr>
        <w:t xml:space="preserve">quality in the </w:t>
      </w:r>
      <w:r w:rsidR="00DF5AE9">
        <w:rPr>
          <w:b/>
          <w:bCs/>
          <w:u w:val="single"/>
        </w:rPr>
        <w:t>W</w:t>
      </w:r>
      <w:r w:rsidR="000078FC" w:rsidRPr="00B55592">
        <w:rPr>
          <w:b/>
          <w:bCs/>
          <w:u w:val="single"/>
        </w:rPr>
        <w:t>orkplace</w:t>
      </w:r>
      <w:bookmarkEnd w:id="12"/>
      <w:r w:rsidR="000078FC" w:rsidRPr="00B55592">
        <w:rPr>
          <w:b/>
          <w:bCs/>
          <w:u w:val="single"/>
        </w:rPr>
        <w:t xml:space="preserve"> </w:t>
      </w:r>
    </w:p>
    <w:p w14:paraId="1B0AEB6E" w14:textId="78362829" w:rsidR="00583B3F" w:rsidRDefault="007B0023" w:rsidP="00583B3F">
      <w:pPr>
        <w:jc w:val="both"/>
      </w:pPr>
      <w:r>
        <w:br/>
      </w:r>
      <w:r w:rsidR="00726368" w:rsidRPr="00726368">
        <w:t>Over the decades, Singapore has made significant progress in providing equal opportunities in the workplace for both men and women. Our women have made great strides in both the private and public sectors and are leaders in many fields.</w:t>
      </w:r>
      <w:r w:rsidR="00726368">
        <w:t xml:space="preserve"> </w:t>
      </w:r>
    </w:p>
    <w:p w14:paraId="46CC5BF9" w14:textId="29226949" w:rsidR="00583B3F" w:rsidRDefault="00583B3F" w:rsidP="00583B3F">
      <w:pPr>
        <w:jc w:val="both"/>
      </w:pPr>
      <w:r>
        <w:t xml:space="preserve">Women are highly educated and enjoy equal opportunities in the workplace. Flexible Work Arrangements (FWAs) and other </w:t>
      </w:r>
      <w:r w:rsidR="00F30F9F">
        <w:t xml:space="preserve">family-friendly workplace practices </w:t>
      </w:r>
      <w:r>
        <w:t xml:space="preserve">have enabled women to participate in the economy more fully. The resident employment rate for females aged 25-64 has increased from </w:t>
      </w:r>
      <w:r w:rsidR="00B02BFA">
        <w:t>72.3% in 2018</w:t>
      </w:r>
      <w:r w:rsidR="00747D1B">
        <w:t xml:space="preserve"> to 76.6% in 2023</w:t>
      </w:r>
      <w:r w:rsidR="0092477D">
        <w:t xml:space="preserve"> (Table 1)</w:t>
      </w:r>
      <w:r>
        <w:t xml:space="preserve">. The gap between male and female employment rates has also narrowed in the past </w:t>
      </w:r>
      <w:r w:rsidR="00747D1B">
        <w:t>5 years</w:t>
      </w:r>
      <w:r>
        <w:t xml:space="preserve"> from </w:t>
      </w:r>
      <w:r w:rsidR="00817674">
        <w:t>16.6</w:t>
      </w:r>
      <w:r>
        <w:t xml:space="preserve"> percentage points in 201</w:t>
      </w:r>
      <w:r w:rsidR="00673868">
        <w:t>9</w:t>
      </w:r>
      <w:r>
        <w:t xml:space="preserve"> to 12.</w:t>
      </w:r>
      <w:r w:rsidR="004C64A8">
        <w:t>4</w:t>
      </w:r>
      <w:r>
        <w:t xml:space="preserve"> percentage points in 2023. </w:t>
      </w:r>
    </w:p>
    <w:p w14:paraId="3E6CC54F" w14:textId="2EDD8BD1" w:rsidR="00583B3F" w:rsidRDefault="00583B3F" w:rsidP="00882D07">
      <w:pPr>
        <w:jc w:val="both"/>
      </w:pPr>
      <w:r>
        <w:t xml:space="preserve">There has also been an upward trend in the proportion of women employed in Professional, Managerial, Executive and Technician (PMET) </w:t>
      </w:r>
      <w:r w:rsidR="00735910">
        <w:t xml:space="preserve">occupations </w:t>
      </w:r>
      <w:r>
        <w:t xml:space="preserve">and traditionally male-dominated areas. The share of women aged 15 &amp; over among PMET occupations has also increased, from </w:t>
      </w:r>
      <w:r w:rsidR="00C75E10">
        <w:t>44.4% in 2018</w:t>
      </w:r>
      <w:r>
        <w:t xml:space="preserve"> to 46.7% in 2023</w:t>
      </w:r>
      <w:r w:rsidR="00F2771F">
        <w:t xml:space="preserve"> (Table 2).</w:t>
      </w:r>
      <w:r w:rsidR="00882D07">
        <w:t xml:space="preserve"> </w:t>
      </w:r>
      <w:r w:rsidR="00882D07" w:rsidRPr="00882D07">
        <w:t xml:space="preserve">The share of women </w:t>
      </w:r>
      <w:r w:rsidR="006E00CC">
        <w:t>aged 15 &amp; over</w:t>
      </w:r>
      <w:r w:rsidR="00882D07" w:rsidRPr="00882D07">
        <w:t xml:space="preserve"> </w:t>
      </w:r>
      <w:r w:rsidR="006E00CC">
        <w:t>among</w:t>
      </w:r>
      <w:r w:rsidR="00882D07" w:rsidRPr="00882D07">
        <w:t xml:space="preserve"> STEM occupations has increased from </w:t>
      </w:r>
      <w:r w:rsidR="00E76A28">
        <w:t>31.1%</w:t>
      </w:r>
      <w:r w:rsidR="00882D07" w:rsidRPr="00882D07">
        <w:t xml:space="preserve"> to 34.3% in the past </w:t>
      </w:r>
      <w:r w:rsidR="0001317A">
        <w:t>5 years</w:t>
      </w:r>
      <w:r w:rsidR="00F2771F">
        <w:t xml:space="preserve"> (Table 3)</w:t>
      </w:r>
      <w:r w:rsidR="0001317A">
        <w:t xml:space="preserve">. </w:t>
      </w:r>
    </w:p>
    <w:p w14:paraId="56F41A39" w14:textId="6F494068" w:rsidR="00F37098" w:rsidRPr="007A49B1" w:rsidRDefault="00F37098" w:rsidP="00F37098">
      <w:pPr>
        <w:rPr>
          <w:rFonts w:cstheme="minorHAnsi"/>
        </w:rPr>
      </w:pPr>
      <w:r w:rsidRPr="007A49B1">
        <w:rPr>
          <w:rFonts w:cstheme="minorHAnsi"/>
          <w:b/>
          <w:bCs/>
          <w:color w:val="000000"/>
        </w:rPr>
        <w:t xml:space="preserve">Table </w:t>
      </w:r>
      <w:r w:rsidR="00EE08AC">
        <w:rPr>
          <w:rFonts w:cstheme="minorHAnsi"/>
          <w:b/>
          <w:bCs/>
          <w:color w:val="000000"/>
        </w:rPr>
        <w:t>1</w:t>
      </w:r>
      <w:r w:rsidRPr="007A49B1">
        <w:rPr>
          <w:rFonts w:cstheme="minorHAnsi"/>
          <w:b/>
          <w:bCs/>
          <w:color w:val="000000"/>
        </w:rPr>
        <w:t xml:space="preserve">: </w:t>
      </w:r>
      <w:r w:rsidR="001578CD">
        <w:rPr>
          <w:rFonts w:cstheme="minorHAnsi"/>
          <w:b/>
          <w:bCs/>
          <w:color w:val="000000"/>
        </w:rPr>
        <w:t>Resident Employment Rate</w:t>
      </w:r>
      <w:r w:rsidRPr="007A49B1">
        <w:rPr>
          <w:rFonts w:cstheme="minorHAnsi"/>
          <w:b/>
          <w:bCs/>
          <w:color w:val="000000"/>
        </w:rPr>
        <w:t xml:space="preserve"> </w:t>
      </w:r>
      <w:r w:rsidR="000171D9">
        <w:rPr>
          <w:rFonts w:cstheme="minorHAnsi"/>
          <w:b/>
          <w:bCs/>
          <w:color w:val="000000"/>
        </w:rPr>
        <w:t>A</w:t>
      </w:r>
      <w:r>
        <w:rPr>
          <w:rFonts w:cstheme="minorHAnsi"/>
          <w:b/>
          <w:bCs/>
          <w:color w:val="000000"/>
        </w:rPr>
        <w:t xml:space="preserve">ged </w:t>
      </w:r>
      <w:r w:rsidR="00446363">
        <w:rPr>
          <w:rFonts w:cstheme="minorHAnsi"/>
          <w:b/>
          <w:bCs/>
          <w:color w:val="000000"/>
        </w:rPr>
        <w:t xml:space="preserve">25 </w:t>
      </w:r>
      <w:r w:rsidR="00935180">
        <w:rPr>
          <w:rFonts w:cstheme="minorHAnsi"/>
          <w:b/>
          <w:bCs/>
          <w:color w:val="000000"/>
        </w:rPr>
        <w:t xml:space="preserve">to </w:t>
      </w:r>
      <w:r w:rsidR="00446363">
        <w:rPr>
          <w:rFonts w:cstheme="minorHAnsi"/>
          <w:b/>
          <w:bCs/>
          <w:color w:val="000000"/>
        </w:rPr>
        <w:t xml:space="preserve">64 </w:t>
      </w:r>
      <w:r>
        <w:rPr>
          <w:rFonts w:cstheme="minorHAnsi"/>
          <w:b/>
          <w:bCs/>
          <w:color w:val="000000"/>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302"/>
        <w:gridCol w:w="1302"/>
        <w:gridCol w:w="1350"/>
        <w:gridCol w:w="1440"/>
        <w:gridCol w:w="1350"/>
        <w:gridCol w:w="1218"/>
      </w:tblGrid>
      <w:tr w:rsidR="001F6A68" w:rsidRPr="007A49B1" w14:paraId="446750B0" w14:textId="77777777" w:rsidTr="00CE3372">
        <w:trPr>
          <w:trHeight w:val="250"/>
        </w:trPr>
        <w:tc>
          <w:tcPr>
            <w:tcW w:w="1668" w:type="dxa"/>
            <w:shd w:val="clear" w:color="auto" w:fill="D9D9D9" w:themeFill="background1" w:themeFillShade="D9"/>
          </w:tcPr>
          <w:p w14:paraId="6D9EDE1D" w14:textId="0D656879" w:rsidR="00F37098" w:rsidRPr="007A49B1" w:rsidRDefault="00F37098">
            <w:pPr>
              <w:autoSpaceDE w:val="0"/>
              <w:autoSpaceDN w:val="0"/>
              <w:adjustRightInd w:val="0"/>
              <w:spacing w:after="0" w:line="240" w:lineRule="auto"/>
              <w:rPr>
                <w:rFonts w:cstheme="minorHAnsi"/>
                <w:b/>
                <w:bCs/>
                <w:color w:val="000000"/>
              </w:rPr>
            </w:pPr>
          </w:p>
        </w:tc>
        <w:tc>
          <w:tcPr>
            <w:tcW w:w="1302" w:type="dxa"/>
            <w:shd w:val="clear" w:color="auto" w:fill="D9D9D9" w:themeFill="background1" w:themeFillShade="D9"/>
          </w:tcPr>
          <w:p w14:paraId="30248352" w14:textId="787243A1" w:rsidR="00414D87" w:rsidRDefault="00414D87">
            <w:pPr>
              <w:autoSpaceDE w:val="0"/>
              <w:autoSpaceDN w:val="0"/>
              <w:adjustRightInd w:val="0"/>
              <w:spacing w:after="0" w:line="240" w:lineRule="auto"/>
              <w:rPr>
                <w:rFonts w:cstheme="minorHAnsi"/>
                <w:b/>
                <w:bCs/>
                <w:color w:val="000000"/>
              </w:rPr>
            </w:pPr>
            <w:r>
              <w:rPr>
                <w:rFonts w:cstheme="minorHAnsi"/>
                <w:b/>
                <w:bCs/>
                <w:color w:val="000000"/>
              </w:rPr>
              <w:t>2018</w:t>
            </w:r>
          </w:p>
        </w:tc>
        <w:tc>
          <w:tcPr>
            <w:tcW w:w="1302" w:type="dxa"/>
            <w:shd w:val="clear" w:color="auto" w:fill="D9D9D9" w:themeFill="background1" w:themeFillShade="D9"/>
          </w:tcPr>
          <w:p w14:paraId="1A6962A0" w14:textId="33F74526" w:rsidR="00E97908" w:rsidRDefault="00E97908">
            <w:pPr>
              <w:autoSpaceDE w:val="0"/>
              <w:autoSpaceDN w:val="0"/>
              <w:adjustRightInd w:val="0"/>
              <w:spacing w:after="0" w:line="240" w:lineRule="auto"/>
              <w:rPr>
                <w:rFonts w:cstheme="minorHAnsi"/>
                <w:b/>
                <w:bCs/>
                <w:color w:val="000000"/>
              </w:rPr>
            </w:pPr>
            <w:r>
              <w:rPr>
                <w:rFonts w:cstheme="minorHAnsi"/>
                <w:b/>
                <w:bCs/>
                <w:color w:val="000000"/>
              </w:rPr>
              <w:t>2019</w:t>
            </w:r>
          </w:p>
        </w:tc>
        <w:tc>
          <w:tcPr>
            <w:tcW w:w="1350" w:type="dxa"/>
            <w:shd w:val="clear" w:color="auto" w:fill="D9D9D9" w:themeFill="background1" w:themeFillShade="D9"/>
          </w:tcPr>
          <w:p w14:paraId="1BD15C67" w14:textId="308932AA" w:rsidR="00E97908" w:rsidRDefault="00E97908">
            <w:pPr>
              <w:autoSpaceDE w:val="0"/>
              <w:autoSpaceDN w:val="0"/>
              <w:adjustRightInd w:val="0"/>
              <w:spacing w:after="0" w:line="240" w:lineRule="auto"/>
              <w:rPr>
                <w:rFonts w:cstheme="minorHAnsi"/>
                <w:b/>
                <w:bCs/>
                <w:color w:val="000000"/>
              </w:rPr>
            </w:pPr>
            <w:r>
              <w:rPr>
                <w:rFonts w:cstheme="minorHAnsi"/>
                <w:b/>
                <w:bCs/>
                <w:color w:val="000000"/>
              </w:rPr>
              <w:t>2020</w:t>
            </w:r>
          </w:p>
        </w:tc>
        <w:tc>
          <w:tcPr>
            <w:tcW w:w="1440" w:type="dxa"/>
            <w:shd w:val="clear" w:color="auto" w:fill="D9D9D9" w:themeFill="background1" w:themeFillShade="D9"/>
          </w:tcPr>
          <w:p w14:paraId="46468E53" w14:textId="55DD09E4" w:rsidR="005F54AF" w:rsidRDefault="00E97908">
            <w:pPr>
              <w:autoSpaceDE w:val="0"/>
              <w:autoSpaceDN w:val="0"/>
              <w:adjustRightInd w:val="0"/>
              <w:spacing w:after="0" w:line="240" w:lineRule="auto"/>
              <w:rPr>
                <w:rFonts w:cstheme="minorHAnsi"/>
                <w:b/>
                <w:bCs/>
                <w:color w:val="000000"/>
              </w:rPr>
            </w:pPr>
            <w:r>
              <w:rPr>
                <w:rFonts w:cstheme="minorHAnsi"/>
                <w:b/>
                <w:bCs/>
                <w:color w:val="000000"/>
              </w:rPr>
              <w:t>2021</w:t>
            </w:r>
          </w:p>
        </w:tc>
        <w:tc>
          <w:tcPr>
            <w:tcW w:w="1350" w:type="dxa"/>
            <w:shd w:val="clear" w:color="auto" w:fill="D9D9D9" w:themeFill="background1" w:themeFillShade="D9"/>
          </w:tcPr>
          <w:p w14:paraId="2D70449D" w14:textId="1FE52535" w:rsidR="005F54AF" w:rsidRDefault="00E97908">
            <w:pPr>
              <w:autoSpaceDE w:val="0"/>
              <w:autoSpaceDN w:val="0"/>
              <w:adjustRightInd w:val="0"/>
              <w:spacing w:after="0" w:line="240" w:lineRule="auto"/>
              <w:rPr>
                <w:rFonts w:cstheme="minorHAnsi"/>
                <w:b/>
                <w:bCs/>
                <w:color w:val="000000"/>
              </w:rPr>
            </w:pPr>
            <w:r>
              <w:rPr>
                <w:rFonts w:cstheme="minorHAnsi"/>
                <w:b/>
                <w:bCs/>
                <w:color w:val="000000"/>
              </w:rPr>
              <w:t>2</w:t>
            </w:r>
            <w:r>
              <w:rPr>
                <w:rFonts w:cstheme="minorHAnsi"/>
                <w:b/>
                <w:bCs/>
              </w:rPr>
              <w:t>022</w:t>
            </w:r>
          </w:p>
        </w:tc>
        <w:tc>
          <w:tcPr>
            <w:tcW w:w="1218" w:type="dxa"/>
            <w:shd w:val="clear" w:color="auto" w:fill="D9D9D9" w:themeFill="background1" w:themeFillShade="D9"/>
          </w:tcPr>
          <w:p w14:paraId="7C2C23D3" w14:textId="676D62E9" w:rsidR="00F37098" w:rsidRPr="007A49B1" w:rsidRDefault="00F37098">
            <w:pPr>
              <w:autoSpaceDE w:val="0"/>
              <w:autoSpaceDN w:val="0"/>
              <w:adjustRightInd w:val="0"/>
              <w:spacing w:after="0" w:line="240" w:lineRule="auto"/>
              <w:rPr>
                <w:rFonts w:cstheme="minorHAnsi"/>
                <w:color w:val="000000"/>
              </w:rPr>
            </w:pPr>
            <w:r>
              <w:rPr>
                <w:rFonts w:cstheme="minorHAnsi"/>
                <w:b/>
                <w:bCs/>
                <w:color w:val="000000"/>
              </w:rPr>
              <w:t>2023</w:t>
            </w:r>
          </w:p>
        </w:tc>
      </w:tr>
      <w:tr w:rsidR="009A021E" w:rsidRPr="007A49B1" w14:paraId="4B2A7933" w14:textId="77777777" w:rsidTr="00CE3372">
        <w:trPr>
          <w:trHeight w:val="440"/>
        </w:trPr>
        <w:tc>
          <w:tcPr>
            <w:tcW w:w="1668" w:type="dxa"/>
          </w:tcPr>
          <w:p w14:paraId="4A8F443B" w14:textId="77777777" w:rsidR="00F37098" w:rsidRPr="007A49B1" w:rsidRDefault="00F37098">
            <w:pPr>
              <w:autoSpaceDE w:val="0"/>
              <w:autoSpaceDN w:val="0"/>
              <w:adjustRightInd w:val="0"/>
              <w:spacing w:after="0" w:line="240" w:lineRule="auto"/>
              <w:rPr>
                <w:rFonts w:cstheme="minorHAnsi"/>
                <w:color w:val="000000"/>
              </w:rPr>
            </w:pPr>
            <w:r>
              <w:rPr>
                <w:rFonts w:cstheme="minorHAnsi"/>
                <w:color w:val="000000"/>
              </w:rPr>
              <w:t xml:space="preserve">Men </w:t>
            </w:r>
            <w:r w:rsidRPr="007A49B1">
              <w:rPr>
                <w:rFonts w:cstheme="minorHAnsi"/>
                <w:color w:val="000000"/>
              </w:rPr>
              <w:t xml:space="preserve"> </w:t>
            </w:r>
          </w:p>
        </w:tc>
        <w:tc>
          <w:tcPr>
            <w:tcW w:w="1302" w:type="dxa"/>
          </w:tcPr>
          <w:p w14:paraId="480239AF" w14:textId="1A9C2C22" w:rsidR="009C1328" w:rsidRDefault="009C1328">
            <w:pPr>
              <w:autoSpaceDE w:val="0"/>
              <w:autoSpaceDN w:val="0"/>
              <w:adjustRightInd w:val="0"/>
              <w:spacing w:after="0" w:line="240" w:lineRule="auto"/>
              <w:rPr>
                <w:rFonts w:cstheme="minorHAnsi"/>
                <w:color w:val="000000"/>
              </w:rPr>
            </w:pPr>
            <w:r>
              <w:rPr>
                <w:rFonts w:cstheme="minorHAnsi"/>
                <w:color w:val="000000"/>
              </w:rPr>
              <w:t>88.9%</w:t>
            </w:r>
          </w:p>
        </w:tc>
        <w:tc>
          <w:tcPr>
            <w:tcW w:w="1302" w:type="dxa"/>
          </w:tcPr>
          <w:p w14:paraId="276D8AC5" w14:textId="5E824E49" w:rsidR="00E97908" w:rsidRDefault="00553A6D">
            <w:pPr>
              <w:autoSpaceDE w:val="0"/>
              <w:autoSpaceDN w:val="0"/>
              <w:adjustRightInd w:val="0"/>
              <w:spacing w:after="0" w:line="240" w:lineRule="auto"/>
              <w:rPr>
                <w:rFonts w:cstheme="minorHAnsi"/>
                <w:color w:val="000000"/>
              </w:rPr>
            </w:pPr>
            <w:r>
              <w:rPr>
                <w:rFonts w:cstheme="minorHAnsi"/>
                <w:color w:val="000000"/>
              </w:rPr>
              <w:t>88.8</w:t>
            </w:r>
            <w:r w:rsidR="004E55BB">
              <w:rPr>
                <w:rFonts w:cstheme="minorHAnsi"/>
                <w:color w:val="000000"/>
              </w:rPr>
              <w:t>%</w:t>
            </w:r>
          </w:p>
        </w:tc>
        <w:tc>
          <w:tcPr>
            <w:tcW w:w="1350" w:type="dxa"/>
          </w:tcPr>
          <w:p w14:paraId="16C7928E" w14:textId="5D48A032" w:rsidR="00E97908" w:rsidRDefault="00A73BB3">
            <w:pPr>
              <w:autoSpaceDE w:val="0"/>
              <w:autoSpaceDN w:val="0"/>
              <w:adjustRightInd w:val="0"/>
              <w:spacing w:after="0" w:line="240" w:lineRule="auto"/>
              <w:rPr>
                <w:rFonts w:cstheme="minorHAnsi"/>
                <w:color w:val="000000"/>
              </w:rPr>
            </w:pPr>
            <w:r>
              <w:rPr>
                <w:rFonts w:cstheme="minorHAnsi"/>
                <w:color w:val="000000"/>
              </w:rPr>
              <w:t>87.9</w:t>
            </w:r>
            <w:r w:rsidR="00870DD1">
              <w:rPr>
                <w:rFonts w:cstheme="minorHAnsi"/>
                <w:color w:val="000000"/>
              </w:rPr>
              <w:t>%</w:t>
            </w:r>
          </w:p>
        </w:tc>
        <w:tc>
          <w:tcPr>
            <w:tcW w:w="1440" w:type="dxa"/>
          </w:tcPr>
          <w:p w14:paraId="400D077D" w14:textId="6F7700B4" w:rsidR="005F54AF" w:rsidRDefault="00423394">
            <w:pPr>
              <w:autoSpaceDE w:val="0"/>
              <w:autoSpaceDN w:val="0"/>
              <w:adjustRightInd w:val="0"/>
              <w:spacing w:after="0" w:line="240" w:lineRule="auto"/>
              <w:rPr>
                <w:rFonts w:cstheme="minorHAnsi"/>
                <w:color w:val="000000"/>
              </w:rPr>
            </w:pPr>
            <w:r>
              <w:rPr>
                <w:rFonts w:cstheme="minorHAnsi"/>
                <w:color w:val="000000"/>
              </w:rPr>
              <w:t>88.9</w:t>
            </w:r>
            <w:r w:rsidR="00870DD1">
              <w:rPr>
                <w:rFonts w:cstheme="minorHAnsi"/>
                <w:color w:val="000000"/>
              </w:rPr>
              <w:t>%</w:t>
            </w:r>
          </w:p>
        </w:tc>
        <w:tc>
          <w:tcPr>
            <w:tcW w:w="1350" w:type="dxa"/>
          </w:tcPr>
          <w:p w14:paraId="41793280" w14:textId="71670D4B" w:rsidR="005F54AF" w:rsidRDefault="00CB7C4E">
            <w:pPr>
              <w:autoSpaceDE w:val="0"/>
              <w:autoSpaceDN w:val="0"/>
              <w:adjustRightInd w:val="0"/>
              <w:spacing w:after="0" w:line="240" w:lineRule="auto"/>
              <w:rPr>
                <w:rFonts w:cstheme="minorHAnsi"/>
                <w:color w:val="000000"/>
              </w:rPr>
            </w:pPr>
            <w:r>
              <w:rPr>
                <w:rFonts w:cstheme="minorHAnsi"/>
                <w:color w:val="000000"/>
              </w:rPr>
              <w:t>89.6</w:t>
            </w:r>
            <w:r w:rsidR="00870DD1">
              <w:rPr>
                <w:rFonts w:cstheme="minorHAnsi"/>
                <w:color w:val="000000"/>
              </w:rPr>
              <w:t>%</w:t>
            </w:r>
          </w:p>
        </w:tc>
        <w:tc>
          <w:tcPr>
            <w:tcW w:w="1218" w:type="dxa"/>
          </w:tcPr>
          <w:p w14:paraId="75668662" w14:textId="409149E1" w:rsidR="00E249ED" w:rsidRDefault="00CB7C4E">
            <w:pPr>
              <w:autoSpaceDE w:val="0"/>
              <w:autoSpaceDN w:val="0"/>
              <w:adjustRightInd w:val="0"/>
              <w:spacing w:after="0" w:line="240" w:lineRule="auto"/>
              <w:rPr>
                <w:rFonts w:cstheme="minorHAnsi"/>
                <w:color w:val="000000"/>
              </w:rPr>
            </w:pPr>
            <w:r>
              <w:rPr>
                <w:rFonts w:cstheme="minorHAnsi"/>
                <w:color w:val="000000"/>
              </w:rPr>
              <w:t>89.0</w:t>
            </w:r>
            <w:r w:rsidR="00E249ED">
              <w:rPr>
                <w:rFonts w:cstheme="minorHAnsi"/>
                <w:color w:val="000000"/>
              </w:rPr>
              <w:t>%</w:t>
            </w:r>
          </w:p>
          <w:p w14:paraId="7FE339B9" w14:textId="6BCA7547" w:rsidR="00F37098" w:rsidRPr="007A49B1" w:rsidRDefault="00F37098">
            <w:pPr>
              <w:autoSpaceDE w:val="0"/>
              <w:autoSpaceDN w:val="0"/>
              <w:adjustRightInd w:val="0"/>
              <w:spacing w:after="0" w:line="240" w:lineRule="auto"/>
              <w:rPr>
                <w:rFonts w:cstheme="minorHAnsi"/>
                <w:color w:val="000000"/>
              </w:rPr>
            </w:pPr>
          </w:p>
        </w:tc>
      </w:tr>
      <w:tr w:rsidR="009A021E" w:rsidRPr="007A49B1" w14:paraId="094C79A7" w14:textId="77777777" w:rsidTr="00CE3372">
        <w:trPr>
          <w:trHeight w:val="229"/>
        </w:trPr>
        <w:tc>
          <w:tcPr>
            <w:tcW w:w="1668" w:type="dxa"/>
          </w:tcPr>
          <w:p w14:paraId="37787145" w14:textId="77777777" w:rsidR="00F37098" w:rsidRPr="007A49B1" w:rsidRDefault="00F37098">
            <w:pPr>
              <w:autoSpaceDE w:val="0"/>
              <w:autoSpaceDN w:val="0"/>
              <w:adjustRightInd w:val="0"/>
              <w:spacing w:after="0" w:line="240" w:lineRule="auto"/>
              <w:rPr>
                <w:rFonts w:cstheme="minorHAnsi"/>
                <w:color w:val="000000"/>
              </w:rPr>
            </w:pPr>
            <w:r>
              <w:rPr>
                <w:rFonts w:cstheme="minorHAnsi"/>
                <w:color w:val="000000"/>
              </w:rPr>
              <w:t xml:space="preserve">Women </w:t>
            </w:r>
          </w:p>
        </w:tc>
        <w:tc>
          <w:tcPr>
            <w:tcW w:w="1302" w:type="dxa"/>
          </w:tcPr>
          <w:p w14:paraId="5EF218AD" w14:textId="65D0A691" w:rsidR="00134D10" w:rsidRDefault="00134D10">
            <w:pPr>
              <w:autoSpaceDE w:val="0"/>
              <w:autoSpaceDN w:val="0"/>
              <w:adjustRightInd w:val="0"/>
              <w:spacing w:after="0" w:line="240" w:lineRule="auto"/>
              <w:rPr>
                <w:rFonts w:cstheme="minorHAnsi"/>
                <w:color w:val="000000"/>
              </w:rPr>
            </w:pPr>
            <w:r>
              <w:rPr>
                <w:rFonts w:cstheme="minorHAnsi"/>
                <w:color w:val="000000"/>
              </w:rPr>
              <w:t>72.3%</w:t>
            </w:r>
          </w:p>
        </w:tc>
        <w:tc>
          <w:tcPr>
            <w:tcW w:w="1302" w:type="dxa"/>
          </w:tcPr>
          <w:p w14:paraId="7AE9B26D" w14:textId="3E15A1EF" w:rsidR="00E97908" w:rsidRDefault="00C25F77">
            <w:pPr>
              <w:autoSpaceDE w:val="0"/>
              <w:autoSpaceDN w:val="0"/>
              <w:adjustRightInd w:val="0"/>
              <w:spacing w:after="0" w:line="240" w:lineRule="auto"/>
              <w:rPr>
                <w:rFonts w:cstheme="minorHAnsi"/>
                <w:color w:val="000000"/>
              </w:rPr>
            </w:pPr>
            <w:r>
              <w:rPr>
                <w:rFonts w:cstheme="minorHAnsi"/>
                <w:color w:val="000000"/>
              </w:rPr>
              <w:t>7</w:t>
            </w:r>
            <w:r w:rsidR="00D96B3A">
              <w:rPr>
                <w:rFonts w:cstheme="minorHAnsi"/>
                <w:color w:val="000000"/>
              </w:rPr>
              <w:t>3.</w:t>
            </w:r>
            <w:r w:rsidR="000E3C64">
              <w:rPr>
                <w:rFonts w:cstheme="minorHAnsi"/>
                <w:color w:val="000000"/>
              </w:rPr>
              <w:t>3</w:t>
            </w:r>
            <w:r w:rsidR="00974AF2">
              <w:rPr>
                <w:rFonts w:cstheme="minorHAnsi"/>
                <w:color w:val="000000"/>
              </w:rPr>
              <w:t>%</w:t>
            </w:r>
          </w:p>
        </w:tc>
        <w:tc>
          <w:tcPr>
            <w:tcW w:w="1350" w:type="dxa"/>
          </w:tcPr>
          <w:p w14:paraId="1EFDD5EE" w14:textId="2056666A" w:rsidR="00E97908" w:rsidRPr="00580D92" w:rsidRDefault="00C25F77">
            <w:pPr>
              <w:autoSpaceDE w:val="0"/>
              <w:autoSpaceDN w:val="0"/>
              <w:adjustRightInd w:val="0"/>
              <w:spacing w:after="0" w:line="240" w:lineRule="auto"/>
              <w:rPr>
                <w:rFonts w:cstheme="minorHAnsi"/>
                <w:b/>
                <w:color w:val="000000"/>
              </w:rPr>
            </w:pPr>
            <w:r>
              <w:rPr>
                <w:rFonts w:cstheme="minorHAnsi"/>
                <w:color w:val="000000"/>
              </w:rPr>
              <w:t>7</w:t>
            </w:r>
            <w:r w:rsidR="00476590">
              <w:rPr>
                <w:rFonts w:cstheme="minorHAnsi"/>
                <w:color w:val="000000"/>
              </w:rPr>
              <w:t>3.2</w:t>
            </w:r>
            <w:r>
              <w:rPr>
                <w:rFonts w:cstheme="minorHAnsi"/>
                <w:color w:val="000000"/>
              </w:rPr>
              <w:t>%</w:t>
            </w:r>
          </w:p>
        </w:tc>
        <w:tc>
          <w:tcPr>
            <w:tcW w:w="1440" w:type="dxa"/>
          </w:tcPr>
          <w:p w14:paraId="1EF80FDB" w14:textId="2140519A" w:rsidR="005F54AF" w:rsidRDefault="00C25F77">
            <w:pPr>
              <w:autoSpaceDE w:val="0"/>
              <w:autoSpaceDN w:val="0"/>
              <w:adjustRightInd w:val="0"/>
              <w:spacing w:after="0" w:line="240" w:lineRule="auto"/>
              <w:rPr>
                <w:rFonts w:cstheme="minorHAnsi"/>
                <w:color w:val="000000"/>
              </w:rPr>
            </w:pPr>
            <w:r>
              <w:rPr>
                <w:rFonts w:cstheme="minorHAnsi"/>
                <w:color w:val="000000"/>
              </w:rPr>
              <w:t>7</w:t>
            </w:r>
            <w:r w:rsidR="00790F00">
              <w:rPr>
                <w:rFonts w:cstheme="minorHAnsi"/>
                <w:color w:val="000000"/>
              </w:rPr>
              <w:t>5.1</w:t>
            </w:r>
            <w:r>
              <w:rPr>
                <w:rFonts w:cstheme="minorHAnsi"/>
                <w:color w:val="000000"/>
              </w:rPr>
              <w:t>%</w:t>
            </w:r>
          </w:p>
        </w:tc>
        <w:tc>
          <w:tcPr>
            <w:tcW w:w="1350" w:type="dxa"/>
          </w:tcPr>
          <w:p w14:paraId="03DB328C" w14:textId="55CFFA42" w:rsidR="005F54AF" w:rsidRDefault="00C25F77">
            <w:pPr>
              <w:autoSpaceDE w:val="0"/>
              <w:autoSpaceDN w:val="0"/>
              <w:adjustRightInd w:val="0"/>
              <w:spacing w:after="0" w:line="240" w:lineRule="auto"/>
              <w:rPr>
                <w:rFonts w:cstheme="minorHAnsi"/>
                <w:color w:val="000000"/>
              </w:rPr>
            </w:pPr>
            <w:r>
              <w:rPr>
                <w:rFonts w:cstheme="minorHAnsi"/>
                <w:color w:val="000000"/>
              </w:rPr>
              <w:t>7</w:t>
            </w:r>
            <w:r w:rsidR="00DE13D5">
              <w:rPr>
                <w:rFonts w:cstheme="minorHAnsi"/>
                <w:color w:val="000000"/>
              </w:rPr>
              <w:t>6.2</w:t>
            </w:r>
            <w:r>
              <w:rPr>
                <w:rFonts w:cstheme="minorHAnsi"/>
                <w:color w:val="000000"/>
              </w:rPr>
              <w:t>%</w:t>
            </w:r>
          </w:p>
        </w:tc>
        <w:tc>
          <w:tcPr>
            <w:tcW w:w="1218" w:type="dxa"/>
          </w:tcPr>
          <w:p w14:paraId="113DC21C" w14:textId="411B5402" w:rsidR="00F37098" w:rsidRPr="007A49B1" w:rsidRDefault="00C25F77">
            <w:pPr>
              <w:autoSpaceDE w:val="0"/>
              <w:autoSpaceDN w:val="0"/>
              <w:adjustRightInd w:val="0"/>
              <w:spacing w:after="0" w:line="240" w:lineRule="auto"/>
              <w:rPr>
                <w:rFonts w:cstheme="minorHAnsi"/>
                <w:color w:val="000000"/>
              </w:rPr>
            </w:pPr>
            <w:r>
              <w:rPr>
                <w:rFonts w:cstheme="minorHAnsi"/>
                <w:color w:val="000000"/>
              </w:rPr>
              <w:t>7</w:t>
            </w:r>
            <w:r w:rsidR="00DE13D5">
              <w:rPr>
                <w:rFonts w:cstheme="minorHAnsi"/>
                <w:color w:val="000000"/>
              </w:rPr>
              <w:t>6.6</w:t>
            </w:r>
            <w:r>
              <w:rPr>
                <w:rFonts w:cstheme="minorHAnsi"/>
                <w:color w:val="000000"/>
              </w:rPr>
              <w:t xml:space="preserve">% </w:t>
            </w:r>
          </w:p>
        </w:tc>
      </w:tr>
    </w:tbl>
    <w:p w14:paraId="6CA1F717" w14:textId="77777777" w:rsidR="006F4FAC" w:rsidRDefault="006F4FAC" w:rsidP="00F41183">
      <w:pPr>
        <w:rPr>
          <w:sz w:val="18"/>
          <w:szCs w:val="18"/>
        </w:rPr>
      </w:pPr>
    </w:p>
    <w:p w14:paraId="5DED0944" w14:textId="0449A214" w:rsidR="006F4FAC" w:rsidRDefault="006F4FAC" w:rsidP="00F41183">
      <w:pPr>
        <w:rPr>
          <w:sz w:val="18"/>
          <w:szCs w:val="18"/>
        </w:rPr>
      </w:pPr>
      <w:r w:rsidRPr="007A49B1">
        <w:rPr>
          <w:rFonts w:cstheme="minorHAnsi"/>
          <w:b/>
          <w:bCs/>
          <w:color w:val="000000"/>
        </w:rPr>
        <w:t xml:space="preserve">Table </w:t>
      </w:r>
      <w:r w:rsidR="00EE08AC">
        <w:rPr>
          <w:rFonts w:cstheme="minorHAnsi"/>
          <w:b/>
          <w:bCs/>
          <w:color w:val="000000"/>
        </w:rPr>
        <w:t>2</w:t>
      </w:r>
      <w:r w:rsidRPr="007A49B1">
        <w:rPr>
          <w:rFonts w:cstheme="minorHAnsi"/>
          <w:b/>
          <w:bCs/>
          <w:color w:val="000000"/>
        </w:rPr>
        <w:t>:</w:t>
      </w:r>
      <w:r>
        <w:rPr>
          <w:rFonts w:cstheme="minorHAnsi"/>
          <w:b/>
          <w:bCs/>
          <w:color w:val="000000"/>
        </w:rPr>
        <w:t xml:space="preserve"> Women’s Sh</w:t>
      </w:r>
      <w:r w:rsidR="00F018BE">
        <w:rPr>
          <w:rFonts w:cstheme="minorHAnsi"/>
          <w:b/>
          <w:bCs/>
          <w:color w:val="000000"/>
        </w:rPr>
        <w:t xml:space="preserve">are </w:t>
      </w:r>
      <w:r w:rsidR="00A5531B">
        <w:rPr>
          <w:rFonts w:cstheme="minorHAnsi"/>
          <w:b/>
          <w:bCs/>
          <w:color w:val="000000"/>
        </w:rPr>
        <w:t xml:space="preserve">among employed residents aged 15 &amp; over in </w:t>
      </w:r>
      <w:r w:rsidR="00F018BE">
        <w:rPr>
          <w:rFonts w:cstheme="minorHAnsi"/>
          <w:b/>
          <w:bCs/>
          <w:color w:val="000000"/>
        </w:rPr>
        <w:t>PMET occupations</w:t>
      </w:r>
      <w:r w:rsidR="00F43A58">
        <w:rPr>
          <w:rFonts w:cstheme="minorHAnsi"/>
          <w:b/>
          <w:bCs/>
          <w:color w:val="000000"/>
        </w:rPr>
        <w:t xml:space="preserve"> (%)</w:t>
      </w:r>
    </w:p>
    <w:tbl>
      <w:tblPr>
        <w:tblW w:w="8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350"/>
        <w:gridCol w:w="1440"/>
        <w:gridCol w:w="1350"/>
        <w:gridCol w:w="1350"/>
      </w:tblGrid>
      <w:tr w:rsidR="001F6A68" w:rsidRPr="007A49B1" w14:paraId="4FE4079C" w14:textId="77777777" w:rsidTr="00134D10">
        <w:trPr>
          <w:trHeight w:val="250"/>
        </w:trPr>
        <w:tc>
          <w:tcPr>
            <w:tcW w:w="1302" w:type="dxa"/>
            <w:shd w:val="clear" w:color="auto" w:fill="D9D9D9" w:themeFill="background1" w:themeFillShade="D9"/>
          </w:tcPr>
          <w:p w14:paraId="57C0828D" w14:textId="411840FE" w:rsidR="005F7143" w:rsidRDefault="005F7143">
            <w:pPr>
              <w:autoSpaceDE w:val="0"/>
              <w:autoSpaceDN w:val="0"/>
              <w:adjustRightInd w:val="0"/>
              <w:spacing w:after="0" w:line="240" w:lineRule="auto"/>
              <w:rPr>
                <w:rFonts w:cstheme="minorHAnsi"/>
                <w:b/>
                <w:bCs/>
                <w:color w:val="000000"/>
              </w:rPr>
            </w:pPr>
            <w:r>
              <w:rPr>
                <w:rFonts w:cstheme="minorHAnsi"/>
                <w:b/>
                <w:bCs/>
                <w:color w:val="000000"/>
              </w:rPr>
              <w:t>2018</w:t>
            </w:r>
          </w:p>
        </w:tc>
        <w:tc>
          <w:tcPr>
            <w:tcW w:w="1302" w:type="dxa"/>
            <w:shd w:val="clear" w:color="auto" w:fill="D9D9D9" w:themeFill="background1" w:themeFillShade="D9"/>
          </w:tcPr>
          <w:p w14:paraId="35B85313" w14:textId="2338DE9A" w:rsidR="00F43A58" w:rsidRDefault="00F43A58">
            <w:pPr>
              <w:autoSpaceDE w:val="0"/>
              <w:autoSpaceDN w:val="0"/>
              <w:adjustRightInd w:val="0"/>
              <w:spacing w:after="0" w:line="240" w:lineRule="auto"/>
              <w:rPr>
                <w:rFonts w:cstheme="minorHAnsi"/>
                <w:b/>
                <w:bCs/>
                <w:color w:val="000000"/>
              </w:rPr>
            </w:pPr>
            <w:r>
              <w:rPr>
                <w:rFonts w:cstheme="minorHAnsi"/>
                <w:b/>
                <w:bCs/>
                <w:color w:val="000000"/>
              </w:rPr>
              <w:t>2019</w:t>
            </w:r>
          </w:p>
        </w:tc>
        <w:tc>
          <w:tcPr>
            <w:tcW w:w="1350" w:type="dxa"/>
            <w:shd w:val="clear" w:color="auto" w:fill="D9D9D9" w:themeFill="background1" w:themeFillShade="D9"/>
          </w:tcPr>
          <w:p w14:paraId="7B57D7F1" w14:textId="77777777" w:rsidR="00F43A58" w:rsidRDefault="00F43A58">
            <w:pPr>
              <w:autoSpaceDE w:val="0"/>
              <w:autoSpaceDN w:val="0"/>
              <w:adjustRightInd w:val="0"/>
              <w:spacing w:after="0" w:line="240" w:lineRule="auto"/>
              <w:rPr>
                <w:rFonts w:cstheme="minorHAnsi"/>
                <w:b/>
                <w:bCs/>
                <w:color w:val="000000"/>
              </w:rPr>
            </w:pPr>
            <w:r>
              <w:rPr>
                <w:rFonts w:cstheme="minorHAnsi"/>
                <w:b/>
                <w:bCs/>
                <w:color w:val="000000"/>
              </w:rPr>
              <w:t>2020</w:t>
            </w:r>
          </w:p>
        </w:tc>
        <w:tc>
          <w:tcPr>
            <w:tcW w:w="1440" w:type="dxa"/>
            <w:shd w:val="clear" w:color="auto" w:fill="D9D9D9" w:themeFill="background1" w:themeFillShade="D9"/>
          </w:tcPr>
          <w:p w14:paraId="740422CC" w14:textId="77777777" w:rsidR="00F43A58" w:rsidRDefault="00F43A58">
            <w:pPr>
              <w:autoSpaceDE w:val="0"/>
              <w:autoSpaceDN w:val="0"/>
              <w:adjustRightInd w:val="0"/>
              <w:spacing w:after="0" w:line="240" w:lineRule="auto"/>
              <w:rPr>
                <w:rFonts w:cstheme="minorHAnsi"/>
                <w:b/>
                <w:bCs/>
                <w:color w:val="000000"/>
              </w:rPr>
            </w:pPr>
            <w:r>
              <w:rPr>
                <w:rFonts w:cstheme="minorHAnsi"/>
                <w:b/>
                <w:bCs/>
                <w:color w:val="000000"/>
              </w:rPr>
              <w:t>2021</w:t>
            </w:r>
          </w:p>
        </w:tc>
        <w:tc>
          <w:tcPr>
            <w:tcW w:w="1350" w:type="dxa"/>
            <w:shd w:val="clear" w:color="auto" w:fill="D9D9D9" w:themeFill="background1" w:themeFillShade="D9"/>
          </w:tcPr>
          <w:p w14:paraId="5DB7DBD3" w14:textId="77777777" w:rsidR="00F43A58" w:rsidRDefault="00F43A58">
            <w:pPr>
              <w:autoSpaceDE w:val="0"/>
              <w:autoSpaceDN w:val="0"/>
              <w:adjustRightInd w:val="0"/>
              <w:spacing w:after="0" w:line="240" w:lineRule="auto"/>
              <w:rPr>
                <w:rFonts w:cstheme="minorHAnsi"/>
                <w:b/>
                <w:bCs/>
                <w:color w:val="000000"/>
              </w:rPr>
            </w:pPr>
            <w:r>
              <w:rPr>
                <w:rFonts w:cstheme="minorHAnsi"/>
                <w:b/>
                <w:bCs/>
                <w:color w:val="000000"/>
              </w:rPr>
              <w:t>2</w:t>
            </w:r>
            <w:r>
              <w:rPr>
                <w:rFonts w:cstheme="minorHAnsi"/>
                <w:b/>
                <w:bCs/>
              </w:rPr>
              <w:t>022</w:t>
            </w:r>
          </w:p>
        </w:tc>
        <w:tc>
          <w:tcPr>
            <w:tcW w:w="1350" w:type="dxa"/>
            <w:shd w:val="clear" w:color="auto" w:fill="D9D9D9" w:themeFill="background1" w:themeFillShade="D9"/>
          </w:tcPr>
          <w:p w14:paraId="71792742" w14:textId="77777777" w:rsidR="00F43A58" w:rsidRPr="007A49B1" w:rsidRDefault="00F43A58">
            <w:pPr>
              <w:autoSpaceDE w:val="0"/>
              <w:autoSpaceDN w:val="0"/>
              <w:adjustRightInd w:val="0"/>
              <w:spacing w:after="0" w:line="240" w:lineRule="auto"/>
              <w:rPr>
                <w:rFonts w:cstheme="minorHAnsi"/>
                <w:color w:val="000000"/>
              </w:rPr>
            </w:pPr>
            <w:r>
              <w:rPr>
                <w:rFonts w:cstheme="minorHAnsi"/>
                <w:b/>
                <w:bCs/>
                <w:color w:val="000000"/>
              </w:rPr>
              <w:t>2023</w:t>
            </w:r>
          </w:p>
        </w:tc>
      </w:tr>
      <w:tr w:rsidR="009A021E" w:rsidRPr="007A49B1" w14:paraId="7BD66A1E" w14:textId="77777777" w:rsidTr="00134D10">
        <w:trPr>
          <w:trHeight w:val="229"/>
        </w:trPr>
        <w:tc>
          <w:tcPr>
            <w:tcW w:w="1302" w:type="dxa"/>
          </w:tcPr>
          <w:p w14:paraId="012155EE" w14:textId="0B0D1C1D" w:rsidR="00EE26EC" w:rsidRDefault="00EE26EC">
            <w:pPr>
              <w:autoSpaceDE w:val="0"/>
              <w:autoSpaceDN w:val="0"/>
              <w:adjustRightInd w:val="0"/>
              <w:spacing w:after="0" w:line="240" w:lineRule="auto"/>
              <w:rPr>
                <w:rFonts w:cstheme="minorHAnsi"/>
                <w:color w:val="000000"/>
              </w:rPr>
            </w:pPr>
            <w:r>
              <w:rPr>
                <w:rFonts w:cstheme="minorHAnsi"/>
                <w:color w:val="000000"/>
              </w:rPr>
              <w:t>44.4%</w:t>
            </w:r>
          </w:p>
        </w:tc>
        <w:tc>
          <w:tcPr>
            <w:tcW w:w="1302" w:type="dxa"/>
          </w:tcPr>
          <w:p w14:paraId="677B03F4" w14:textId="448017E4" w:rsidR="00F43A58" w:rsidRDefault="00F43A58">
            <w:pPr>
              <w:autoSpaceDE w:val="0"/>
              <w:autoSpaceDN w:val="0"/>
              <w:adjustRightInd w:val="0"/>
              <w:spacing w:after="0" w:line="240" w:lineRule="auto"/>
              <w:rPr>
                <w:rFonts w:cstheme="minorHAnsi"/>
                <w:color w:val="000000"/>
              </w:rPr>
            </w:pPr>
            <w:r>
              <w:rPr>
                <w:rFonts w:cstheme="minorHAnsi"/>
                <w:color w:val="000000"/>
              </w:rPr>
              <w:t>45.3%</w:t>
            </w:r>
          </w:p>
        </w:tc>
        <w:tc>
          <w:tcPr>
            <w:tcW w:w="1350" w:type="dxa"/>
          </w:tcPr>
          <w:p w14:paraId="7553976E" w14:textId="5D116A6B" w:rsidR="00F43A58" w:rsidRPr="00F43A58" w:rsidRDefault="00F43A58">
            <w:pPr>
              <w:autoSpaceDE w:val="0"/>
              <w:autoSpaceDN w:val="0"/>
              <w:adjustRightInd w:val="0"/>
              <w:spacing w:after="0" w:line="240" w:lineRule="auto"/>
              <w:rPr>
                <w:rFonts w:cstheme="minorHAnsi"/>
                <w:bCs/>
                <w:color w:val="000000"/>
              </w:rPr>
            </w:pPr>
            <w:r w:rsidRPr="00F43A58">
              <w:rPr>
                <w:rFonts w:cstheme="minorHAnsi"/>
                <w:bCs/>
                <w:color w:val="000000"/>
              </w:rPr>
              <w:t>45.6%</w:t>
            </w:r>
          </w:p>
        </w:tc>
        <w:tc>
          <w:tcPr>
            <w:tcW w:w="1440" w:type="dxa"/>
          </w:tcPr>
          <w:p w14:paraId="22E55777" w14:textId="5F3FDA84" w:rsidR="00F43A58" w:rsidRDefault="00EB7DEC">
            <w:pPr>
              <w:autoSpaceDE w:val="0"/>
              <w:autoSpaceDN w:val="0"/>
              <w:adjustRightInd w:val="0"/>
              <w:spacing w:after="0" w:line="240" w:lineRule="auto"/>
              <w:rPr>
                <w:rFonts w:cstheme="minorHAnsi"/>
                <w:color w:val="000000"/>
              </w:rPr>
            </w:pPr>
            <w:r>
              <w:rPr>
                <w:rFonts w:cstheme="minorHAnsi"/>
                <w:color w:val="000000"/>
              </w:rPr>
              <w:t>45.9%</w:t>
            </w:r>
          </w:p>
        </w:tc>
        <w:tc>
          <w:tcPr>
            <w:tcW w:w="1350" w:type="dxa"/>
          </w:tcPr>
          <w:p w14:paraId="5359377D" w14:textId="6E97BC4A" w:rsidR="00F43A58" w:rsidRDefault="00EB7DEC">
            <w:pPr>
              <w:autoSpaceDE w:val="0"/>
              <w:autoSpaceDN w:val="0"/>
              <w:adjustRightInd w:val="0"/>
              <w:spacing w:after="0" w:line="240" w:lineRule="auto"/>
              <w:rPr>
                <w:rFonts w:cstheme="minorHAnsi"/>
                <w:color w:val="000000"/>
              </w:rPr>
            </w:pPr>
            <w:r>
              <w:rPr>
                <w:rFonts w:cstheme="minorHAnsi"/>
                <w:color w:val="000000"/>
              </w:rPr>
              <w:t>46.1%</w:t>
            </w:r>
          </w:p>
        </w:tc>
        <w:tc>
          <w:tcPr>
            <w:tcW w:w="1350" w:type="dxa"/>
          </w:tcPr>
          <w:p w14:paraId="20B28649" w14:textId="119C5406" w:rsidR="00F43A58" w:rsidRPr="007A49B1" w:rsidRDefault="00EB7DEC">
            <w:pPr>
              <w:autoSpaceDE w:val="0"/>
              <w:autoSpaceDN w:val="0"/>
              <w:adjustRightInd w:val="0"/>
              <w:spacing w:after="0" w:line="240" w:lineRule="auto"/>
              <w:rPr>
                <w:rFonts w:cstheme="minorHAnsi"/>
                <w:color w:val="000000"/>
              </w:rPr>
            </w:pPr>
            <w:r>
              <w:rPr>
                <w:rFonts w:cstheme="minorHAnsi"/>
                <w:color w:val="000000"/>
              </w:rPr>
              <w:t>46.7%</w:t>
            </w:r>
          </w:p>
        </w:tc>
      </w:tr>
    </w:tbl>
    <w:p w14:paraId="4130E412" w14:textId="77777777" w:rsidR="004429B9" w:rsidRDefault="004429B9" w:rsidP="00F41183">
      <w:pPr>
        <w:rPr>
          <w:sz w:val="18"/>
          <w:szCs w:val="18"/>
        </w:rPr>
      </w:pPr>
    </w:p>
    <w:p w14:paraId="7A6F893E" w14:textId="5B125972" w:rsidR="00EB7DEC" w:rsidRDefault="00EB7DEC" w:rsidP="00F41183">
      <w:pPr>
        <w:rPr>
          <w:rFonts w:cstheme="minorHAnsi"/>
          <w:b/>
          <w:bCs/>
          <w:color w:val="000000"/>
        </w:rPr>
      </w:pPr>
      <w:r w:rsidRPr="007A49B1">
        <w:rPr>
          <w:rFonts w:cstheme="minorHAnsi"/>
          <w:b/>
          <w:bCs/>
          <w:color w:val="000000"/>
        </w:rPr>
        <w:t xml:space="preserve">Table </w:t>
      </w:r>
      <w:r w:rsidR="00EE08AC">
        <w:rPr>
          <w:rFonts w:cstheme="minorHAnsi"/>
          <w:b/>
          <w:bCs/>
          <w:color w:val="000000"/>
        </w:rPr>
        <w:t>3</w:t>
      </w:r>
      <w:r w:rsidRPr="007A49B1">
        <w:rPr>
          <w:rFonts w:cstheme="minorHAnsi"/>
          <w:b/>
          <w:bCs/>
          <w:color w:val="000000"/>
        </w:rPr>
        <w:t>:</w:t>
      </w:r>
      <w:r>
        <w:rPr>
          <w:rFonts w:cstheme="minorHAnsi"/>
          <w:b/>
          <w:bCs/>
          <w:color w:val="000000"/>
        </w:rPr>
        <w:t xml:space="preserve"> Women’s Share </w:t>
      </w:r>
      <w:r w:rsidR="00A5531B">
        <w:rPr>
          <w:rFonts w:cstheme="minorHAnsi"/>
          <w:b/>
          <w:bCs/>
          <w:color w:val="000000"/>
        </w:rPr>
        <w:t xml:space="preserve">among employed residents aged 15 &amp; over in </w:t>
      </w:r>
      <w:r>
        <w:rPr>
          <w:rFonts w:cstheme="minorHAnsi"/>
          <w:b/>
          <w:bCs/>
          <w:color w:val="000000"/>
        </w:rPr>
        <w:t xml:space="preserve">STEM </w:t>
      </w:r>
      <w:r w:rsidR="00A5531B">
        <w:rPr>
          <w:rFonts w:cstheme="minorHAnsi"/>
          <w:b/>
          <w:bCs/>
          <w:color w:val="000000"/>
        </w:rPr>
        <w:t xml:space="preserve">occupations </w:t>
      </w:r>
      <w:r>
        <w:rPr>
          <w:rFonts w:cstheme="minorHAnsi"/>
          <w:b/>
          <w:bCs/>
          <w:color w:val="000000"/>
        </w:rPr>
        <w:t>(%)</w:t>
      </w:r>
    </w:p>
    <w:tbl>
      <w:tblPr>
        <w:tblW w:w="8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350"/>
        <w:gridCol w:w="1440"/>
        <w:gridCol w:w="1350"/>
        <w:gridCol w:w="1350"/>
      </w:tblGrid>
      <w:tr w:rsidR="001F6A68" w:rsidRPr="007A49B1" w14:paraId="30C80AAC" w14:textId="77777777" w:rsidTr="00EE26EC">
        <w:trPr>
          <w:trHeight w:val="250"/>
        </w:trPr>
        <w:tc>
          <w:tcPr>
            <w:tcW w:w="1302" w:type="dxa"/>
            <w:shd w:val="clear" w:color="auto" w:fill="D9D9D9" w:themeFill="background1" w:themeFillShade="D9"/>
          </w:tcPr>
          <w:p w14:paraId="1EE2351D" w14:textId="7B093C53" w:rsidR="00D754EC" w:rsidRDefault="00D754EC">
            <w:pPr>
              <w:autoSpaceDE w:val="0"/>
              <w:autoSpaceDN w:val="0"/>
              <w:adjustRightInd w:val="0"/>
              <w:spacing w:after="0" w:line="240" w:lineRule="auto"/>
              <w:rPr>
                <w:rFonts w:cstheme="minorHAnsi"/>
                <w:b/>
                <w:bCs/>
                <w:color w:val="000000"/>
              </w:rPr>
            </w:pPr>
            <w:r>
              <w:rPr>
                <w:rFonts w:cstheme="minorHAnsi"/>
                <w:b/>
                <w:bCs/>
                <w:color w:val="000000"/>
              </w:rPr>
              <w:t>2018</w:t>
            </w:r>
          </w:p>
        </w:tc>
        <w:tc>
          <w:tcPr>
            <w:tcW w:w="1302" w:type="dxa"/>
            <w:shd w:val="clear" w:color="auto" w:fill="D9D9D9" w:themeFill="background1" w:themeFillShade="D9"/>
          </w:tcPr>
          <w:p w14:paraId="385684A5" w14:textId="0F007055" w:rsidR="00EB7DEC" w:rsidRDefault="00EB7DEC">
            <w:pPr>
              <w:autoSpaceDE w:val="0"/>
              <w:autoSpaceDN w:val="0"/>
              <w:adjustRightInd w:val="0"/>
              <w:spacing w:after="0" w:line="240" w:lineRule="auto"/>
              <w:rPr>
                <w:rFonts w:cstheme="minorHAnsi"/>
                <w:b/>
                <w:bCs/>
                <w:color w:val="000000"/>
              </w:rPr>
            </w:pPr>
            <w:r>
              <w:rPr>
                <w:rFonts w:cstheme="minorHAnsi"/>
                <w:b/>
                <w:bCs/>
                <w:color w:val="000000"/>
              </w:rPr>
              <w:t>2019</w:t>
            </w:r>
          </w:p>
        </w:tc>
        <w:tc>
          <w:tcPr>
            <w:tcW w:w="1350" w:type="dxa"/>
            <w:shd w:val="clear" w:color="auto" w:fill="D9D9D9" w:themeFill="background1" w:themeFillShade="D9"/>
          </w:tcPr>
          <w:p w14:paraId="6A2B8887" w14:textId="77777777" w:rsidR="00EB7DEC" w:rsidRDefault="00EB7DEC">
            <w:pPr>
              <w:autoSpaceDE w:val="0"/>
              <w:autoSpaceDN w:val="0"/>
              <w:adjustRightInd w:val="0"/>
              <w:spacing w:after="0" w:line="240" w:lineRule="auto"/>
              <w:rPr>
                <w:rFonts w:cstheme="minorHAnsi"/>
                <w:b/>
                <w:bCs/>
                <w:color w:val="000000"/>
              </w:rPr>
            </w:pPr>
            <w:r>
              <w:rPr>
                <w:rFonts w:cstheme="minorHAnsi"/>
                <w:b/>
                <w:bCs/>
                <w:color w:val="000000"/>
              </w:rPr>
              <w:t>2020</w:t>
            </w:r>
          </w:p>
        </w:tc>
        <w:tc>
          <w:tcPr>
            <w:tcW w:w="1440" w:type="dxa"/>
            <w:shd w:val="clear" w:color="auto" w:fill="D9D9D9" w:themeFill="background1" w:themeFillShade="D9"/>
          </w:tcPr>
          <w:p w14:paraId="23219409" w14:textId="77777777" w:rsidR="00EB7DEC" w:rsidRDefault="00EB7DEC">
            <w:pPr>
              <w:autoSpaceDE w:val="0"/>
              <w:autoSpaceDN w:val="0"/>
              <w:adjustRightInd w:val="0"/>
              <w:spacing w:after="0" w:line="240" w:lineRule="auto"/>
              <w:rPr>
                <w:rFonts w:cstheme="minorHAnsi"/>
                <w:b/>
                <w:bCs/>
                <w:color w:val="000000"/>
              </w:rPr>
            </w:pPr>
            <w:r>
              <w:rPr>
                <w:rFonts w:cstheme="minorHAnsi"/>
                <w:b/>
                <w:bCs/>
                <w:color w:val="000000"/>
              </w:rPr>
              <w:t>2021</w:t>
            </w:r>
          </w:p>
        </w:tc>
        <w:tc>
          <w:tcPr>
            <w:tcW w:w="1350" w:type="dxa"/>
            <w:shd w:val="clear" w:color="auto" w:fill="D9D9D9" w:themeFill="background1" w:themeFillShade="D9"/>
          </w:tcPr>
          <w:p w14:paraId="5A38F3CF" w14:textId="77777777" w:rsidR="00EB7DEC" w:rsidRDefault="00EB7DEC">
            <w:pPr>
              <w:autoSpaceDE w:val="0"/>
              <w:autoSpaceDN w:val="0"/>
              <w:adjustRightInd w:val="0"/>
              <w:spacing w:after="0" w:line="240" w:lineRule="auto"/>
              <w:rPr>
                <w:rFonts w:cstheme="minorHAnsi"/>
                <w:b/>
                <w:bCs/>
                <w:color w:val="000000"/>
              </w:rPr>
            </w:pPr>
            <w:r>
              <w:rPr>
                <w:rFonts w:cstheme="minorHAnsi"/>
                <w:b/>
                <w:bCs/>
                <w:color w:val="000000"/>
              </w:rPr>
              <w:t>2</w:t>
            </w:r>
            <w:r>
              <w:rPr>
                <w:rFonts w:cstheme="minorHAnsi"/>
                <w:b/>
                <w:bCs/>
              </w:rPr>
              <w:t>022</w:t>
            </w:r>
          </w:p>
        </w:tc>
        <w:tc>
          <w:tcPr>
            <w:tcW w:w="1350" w:type="dxa"/>
            <w:shd w:val="clear" w:color="auto" w:fill="D9D9D9" w:themeFill="background1" w:themeFillShade="D9"/>
          </w:tcPr>
          <w:p w14:paraId="55EE4488" w14:textId="77777777" w:rsidR="00EB7DEC" w:rsidRPr="007A49B1" w:rsidRDefault="00EB7DEC">
            <w:pPr>
              <w:autoSpaceDE w:val="0"/>
              <w:autoSpaceDN w:val="0"/>
              <w:adjustRightInd w:val="0"/>
              <w:spacing w:after="0" w:line="240" w:lineRule="auto"/>
              <w:rPr>
                <w:rFonts w:cstheme="minorHAnsi"/>
                <w:color w:val="000000"/>
              </w:rPr>
            </w:pPr>
            <w:r>
              <w:rPr>
                <w:rFonts w:cstheme="minorHAnsi"/>
                <w:b/>
                <w:bCs/>
                <w:color w:val="000000"/>
              </w:rPr>
              <w:t>2023</w:t>
            </w:r>
          </w:p>
        </w:tc>
      </w:tr>
      <w:tr w:rsidR="009A021E" w:rsidRPr="007A49B1" w14:paraId="59224DEE" w14:textId="77777777" w:rsidTr="00EE26EC">
        <w:trPr>
          <w:trHeight w:val="229"/>
        </w:trPr>
        <w:tc>
          <w:tcPr>
            <w:tcW w:w="1302" w:type="dxa"/>
          </w:tcPr>
          <w:p w14:paraId="3EDE5F34" w14:textId="34CC51BC" w:rsidR="00A5531B" w:rsidRDefault="00A5531B">
            <w:pPr>
              <w:autoSpaceDE w:val="0"/>
              <w:autoSpaceDN w:val="0"/>
              <w:adjustRightInd w:val="0"/>
              <w:spacing w:after="0" w:line="240" w:lineRule="auto"/>
              <w:rPr>
                <w:rFonts w:cstheme="minorHAnsi"/>
                <w:color w:val="000000"/>
              </w:rPr>
            </w:pPr>
            <w:r>
              <w:rPr>
                <w:rFonts w:cstheme="minorHAnsi"/>
                <w:color w:val="000000"/>
              </w:rPr>
              <w:t>31.1%</w:t>
            </w:r>
          </w:p>
        </w:tc>
        <w:tc>
          <w:tcPr>
            <w:tcW w:w="1302" w:type="dxa"/>
          </w:tcPr>
          <w:p w14:paraId="054E263B" w14:textId="1A72BD8C" w:rsidR="00EB7DEC" w:rsidRDefault="00EB7DEC">
            <w:pPr>
              <w:autoSpaceDE w:val="0"/>
              <w:autoSpaceDN w:val="0"/>
              <w:adjustRightInd w:val="0"/>
              <w:spacing w:after="0" w:line="240" w:lineRule="auto"/>
              <w:rPr>
                <w:rFonts w:cstheme="minorHAnsi"/>
                <w:color w:val="000000"/>
              </w:rPr>
            </w:pPr>
            <w:r>
              <w:rPr>
                <w:rFonts w:cstheme="minorHAnsi"/>
                <w:color w:val="000000"/>
              </w:rPr>
              <w:t>32.0%</w:t>
            </w:r>
          </w:p>
        </w:tc>
        <w:tc>
          <w:tcPr>
            <w:tcW w:w="1350" w:type="dxa"/>
          </w:tcPr>
          <w:p w14:paraId="221D4C53" w14:textId="6C3136F6" w:rsidR="00EB7DEC" w:rsidRPr="00F43A58" w:rsidRDefault="00EB7DEC">
            <w:pPr>
              <w:autoSpaceDE w:val="0"/>
              <w:autoSpaceDN w:val="0"/>
              <w:adjustRightInd w:val="0"/>
              <w:spacing w:after="0" w:line="240" w:lineRule="auto"/>
              <w:rPr>
                <w:rFonts w:cstheme="minorHAnsi"/>
                <w:bCs/>
                <w:color w:val="000000"/>
              </w:rPr>
            </w:pPr>
            <w:r>
              <w:rPr>
                <w:rFonts w:cstheme="minorHAnsi"/>
                <w:bCs/>
                <w:color w:val="000000"/>
              </w:rPr>
              <w:t>32.4</w:t>
            </w:r>
            <w:r w:rsidRPr="00F43A58">
              <w:rPr>
                <w:rFonts w:cstheme="minorHAnsi"/>
                <w:bCs/>
                <w:color w:val="000000"/>
              </w:rPr>
              <w:t>%</w:t>
            </w:r>
          </w:p>
        </w:tc>
        <w:tc>
          <w:tcPr>
            <w:tcW w:w="1440" w:type="dxa"/>
          </w:tcPr>
          <w:p w14:paraId="5905CA0B" w14:textId="2E73CBC5" w:rsidR="00EB7DEC" w:rsidRDefault="00E06B9B">
            <w:pPr>
              <w:autoSpaceDE w:val="0"/>
              <w:autoSpaceDN w:val="0"/>
              <w:adjustRightInd w:val="0"/>
              <w:spacing w:after="0" w:line="240" w:lineRule="auto"/>
              <w:rPr>
                <w:rFonts w:cstheme="minorHAnsi"/>
                <w:color w:val="000000"/>
              </w:rPr>
            </w:pPr>
            <w:r>
              <w:rPr>
                <w:rFonts w:cstheme="minorHAnsi"/>
                <w:color w:val="000000"/>
              </w:rPr>
              <w:t>32.2</w:t>
            </w:r>
            <w:r w:rsidR="00EB7DEC">
              <w:rPr>
                <w:rFonts w:cstheme="minorHAnsi"/>
                <w:color w:val="000000"/>
              </w:rPr>
              <w:t>%</w:t>
            </w:r>
          </w:p>
        </w:tc>
        <w:tc>
          <w:tcPr>
            <w:tcW w:w="1350" w:type="dxa"/>
          </w:tcPr>
          <w:p w14:paraId="4E24E32F" w14:textId="33F0B6D7" w:rsidR="00EB7DEC" w:rsidRDefault="00E06B9B">
            <w:pPr>
              <w:autoSpaceDE w:val="0"/>
              <w:autoSpaceDN w:val="0"/>
              <w:adjustRightInd w:val="0"/>
              <w:spacing w:after="0" w:line="240" w:lineRule="auto"/>
              <w:rPr>
                <w:rFonts w:cstheme="minorHAnsi"/>
                <w:color w:val="000000"/>
              </w:rPr>
            </w:pPr>
            <w:r>
              <w:rPr>
                <w:rFonts w:cstheme="minorHAnsi"/>
                <w:color w:val="000000"/>
              </w:rPr>
              <w:t>32.5</w:t>
            </w:r>
            <w:r w:rsidR="00EB7DEC">
              <w:rPr>
                <w:rFonts w:cstheme="minorHAnsi"/>
                <w:color w:val="000000"/>
              </w:rPr>
              <w:t>%</w:t>
            </w:r>
          </w:p>
        </w:tc>
        <w:tc>
          <w:tcPr>
            <w:tcW w:w="1350" w:type="dxa"/>
          </w:tcPr>
          <w:p w14:paraId="782C5E15" w14:textId="7D51BDC1" w:rsidR="00EB7DEC" w:rsidRPr="007A49B1" w:rsidRDefault="00EE08AC">
            <w:pPr>
              <w:autoSpaceDE w:val="0"/>
              <w:autoSpaceDN w:val="0"/>
              <w:adjustRightInd w:val="0"/>
              <w:spacing w:after="0" w:line="240" w:lineRule="auto"/>
              <w:rPr>
                <w:rFonts w:cstheme="minorHAnsi"/>
                <w:color w:val="000000"/>
              </w:rPr>
            </w:pPr>
            <w:r>
              <w:rPr>
                <w:rFonts w:cstheme="minorHAnsi"/>
                <w:color w:val="000000"/>
              </w:rPr>
              <w:t>34.3</w:t>
            </w:r>
            <w:r w:rsidR="00EB7DEC">
              <w:rPr>
                <w:rFonts w:cstheme="minorHAnsi"/>
                <w:color w:val="000000"/>
              </w:rPr>
              <w:t>%</w:t>
            </w:r>
          </w:p>
        </w:tc>
      </w:tr>
    </w:tbl>
    <w:p w14:paraId="293EEC15" w14:textId="77777777" w:rsidR="0092477D" w:rsidRDefault="0092477D" w:rsidP="00F41183">
      <w:pPr>
        <w:rPr>
          <w:sz w:val="18"/>
          <w:szCs w:val="18"/>
        </w:rPr>
      </w:pPr>
    </w:p>
    <w:p w14:paraId="2CA275EC" w14:textId="0A7F9B65" w:rsidR="00470E38" w:rsidRDefault="00A31C3C" w:rsidP="00F41183">
      <w:pPr>
        <w:rPr>
          <w:sz w:val="18"/>
          <w:szCs w:val="18"/>
        </w:rPr>
      </w:pPr>
      <w:r w:rsidRPr="00A31C3C">
        <w:rPr>
          <w:sz w:val="18"/>
          <w:szCs w:val="18"/>
        </w:rPr>
        <w:t>Source: Comprehensive Labour Force Survey, Manpower Research &amp; Statistics Department, MOM</w:t>
      </w:r>
    </w:p>
    <w:p w14:paraId="4C24B4AA" w14:textId="2D80B6A2" w:rsidR="009030F4" w:rsidRDefault="007F3F2E" w:rsidP="008A4F2C">
      <w:pPr>
        <w:spacing w:line="240" w:lineRule="auto"/>
        <w:jc w:val="both"/>
        <w:rPr>
          <w:rFonts w:cstheme="minorHAnsi"/>
        </w:rPr>
      </w:pPr>
      <w:r w:rsidRPr="00FC6E5A">
        <w:rPr>
          <w:rFonts w:cstheme="minorHAnsi"/>
        </w:rPr>
        <w:lastRenderedPageBreak/>
        <w:t>The unadjusted median gender pay gap</w:t>
      </w:r>
      <w:r w:rsidRPr="00FC6E5A">
        <w:rPr>
          <w:rStyle w:val="FootnoteReference"/>
          <w:rFonts w:cstheme="minorHAnsi"/>
        </w:rPr>
        <w:footnoteReference w:id="3"/>
      </w:r>
      <w:r w:rsidRPr="00FC6E5A">
        <w:rPr>
          <w:rFonts w:cstheme="minorHAnsi"/>
        </w:rPr>
        <w:t xml:space="preserve"> of full-time resident employees aged 25-54 in Singapore has narrowed from 16.3% in 2018 to 14.3% in 2023. One key reason for the gender pay gap is occupational differences. When </w:t>
      </w:r>
      <w:r w:rsidR="003F1D39">
        <w:rPr>
          <w:rFonts w:cstheme="minorHAnsi"/>
        </w:rPr>
        <w:t>comparing</w:t>
      </w:r>
      <w:r w:rsidRPr="00FC6E5A">
        <w:rPr>
          <w:rFonts w:cstheme="minorHAnsi"/>
        </w:rPr>
        <w:t xml:space="preserve"> men and women with similar characteristics in age, education, occupation, industry, and usual hours worked, the adjusted gender pay gap </w:t>
      </w:r>
      <w:r w:rsidR="00ED5D76">
        <w:rPr>
          <w:rFonts w:cstheme="minorHAnsi"/>
        </w:rPr>
        <w:t xml:space="preserve">was </w:t>
      </w:r>
      <w:r w:rsidRPr="00FC6E5A">
        <w:rPr>
          <w:rFonts w:cstheme="minorHAnsi"/>
        </w:rPr>
        <w:t>lower at 6.0%</w:t>
      </w:r>
      <w:r w:rsidRPr="00FC6E5A">
        <w:rPr>
          <w:rStyle w:val="FootnoteReference"/>
          <w:rFonts w:cstheme="minorHAnsi"/>
        </w:rPr>
        <w:footnoteReference w:id="4"/>
      </w:r>
      <w:r w:rsidRPr="00FC6E5A">
        <w:rPr>
          <w:rFonts w:cstheme="minorHAnsi"/>
        </w:rPr>
        <w:t xml:space="preserve"> in 2023. The adjusted gender pay gap in Singapore </w:t>
      </w:r>
      <w:r w:rsidR="00C6215C">
        <w:rPr>
          <w:rFonts w:cstheme="minorHAnsi"/>
        </w:rPr>
        <w:t xml:space="preserve">reflects unmeasured characteristics, </w:t>
      </w:r>
      <w:r w:rsidRPr="00FC6E5A">
        <w:rPr>
          <w:rFonts w:cstheme="minorHAnsi"/>
        </w:rPr>
        <w:t xml:space="preserve">such as differences in the effects of parenthood and caregiving responsibilities, which women tend to shoulder more than men. </w:t>
      </w:r>
    </w:p>
    <w:p w14:paraId="0084ACAD" w14:textId="75C34804" w:rsidR="0019708B" w:rsidRDefault="0019708B" w:rsidP="008A4F2C">
      <w:pPr>
        <w:spacing w:line="240" w:lineRule="auto"/>
        <w:jc w:val="both"/>
        <w:rPr>
          <w:rFonts w:cstheme="minorHAnsi"/>
        </w:rPr>
      </w:pPr>
      <w:r w:rsidRPr="00FC6E5A">
        <w:rPr>
          <w:rFonts w:cstheme="minorHAnsi"/>
        </w:rPr>
        <w:t>The unadjusted median gender pay gap</w:t>
      </w:r>
      <w:r w:rsidRPr="00FC6E5A">
        <w:rPr>
          <w:rStyle w:val="FootnoteReference"/>
          <w:rFonts w:cstheme="minorHAnsi"/>
        </w:rPr>
        <w:footnoteReference w:id="5"/>
      </w:r>
      <w:r w:rsidRPr="00FC6E5A">
        <w:rPr>
          <w:rFonts w:cstheme="minorHAnsi"/>
        </w:rPr>
        <w:t xml:space="preserve"> of full-time resident employees aged 25-54 in Singapore has narrowed from 16.3% in 2018 to 14.3% in 2023. One key reason for the gender pay gap is occupational differences. When </w:t>
      </w:r>
      <w:r>
        <w:rPr>
          <w:rFonts w:cstheme="minorHAnsi"/>
        </w:rPr>
        <w:t>comparing</w:t>
      </w:r>
      <w:r w:rsidRPr="00FC6E5A">
        <w:rPr>
          <w:rFonts w:cstheme="minorHAnsi"/>
        </w:rPr>
        <w:t xml:space="preserve"> men and women with similar characteristics in age, education, occupation, industry, and usual hours worked, the adjusted gender pay gap </w:t>
      </w:r>
      <w:r>
        <w:rPr>
          <w:rFonts w:cstheme="minorHAnsi"/>
        </w:rPr>
        <w:t xml:space="preserve">was </w:t>
      </w:r>
      <w:r w:rsidRPr="00FC6E5A">
        <w:rPr>
          <w:rFonts w:cstheme="minorHAnsi"/>
        </w:rPr>
        <w:t>lower at 6.0%</w:t>
      </w:r>
      <w:r w:rsidRPr="00FC6E5A">
        <w:rPr>
          <w:rStyle w:val="FootnoteReference"/>
          <w:rFonts w:cstheme="minorHAnsi"/>
        </w:rPr>
        <w:footnoteReference w:id="6"/>
      </w:r>
      <w:r w:rsidRPr="00FC6E5A">
        <w:rPr>
          <w:rFonts w:cstheme="minorHAnsi"/>
        </w:rPr>
        <w:t xml:space="preserve"> in 2023. The adjusted gender pay gap in Singapore </w:t>
      </w:r>
      <w:r>
        <w:rPr>
          <w:rFonts w:cstheme="minorHAnsi"/>
        </w:rPr>
        <w:t xml:space="preserve">reflects unmeasured characteristics, </w:t>
      </w:r>
      <w:r w:rsidRPr="00FC6E5A">
        <w:rPr>
          <w:rFonts w:cstheme="minorHAnsi"/>
        </w:rPr>
        <w:t xml:space="preserve">such as differences in the effects of parenthood and caregiving responsibilities, which women tend to shoulder more than men. </w:t>
      </w:r>
    </w:p>
    <w:p w14:paraId="6EF6B565" w14:textId="73770F96" w:rsidR="004A7B41" w:rsidRPr="000330FE" w:rsidRDefault="00E95168" w:rsidP="00F25E88">
      <w:pPr>
        <w:spacing w:line="240" w:lineRule="auto"/>
        <w:jc w:val="both"/>
        <w:rPr>
          <w:rFonts w:cstheme="minorHAnsi"/>
          <w:b/>
        </w:rPr>
      </w:pPr>
      <w:r>
        <w:rPr>
          <w:rFonts w:cstheme="minorHAnsi"/>
        </w:rPr>
        <w:t xml:space="preserve">To promote greater gender equality in the workplace, </w:t>
      </w:r>
      <w:r w:rsidR="00B735B3">
        <w:rPr>
          <w:rFonts w:cstheme="minorHAnsi"/>
        </w:rPr>
        <w:t>Singapore has put in place legislation</w:t>
      </w:r>
      <w:r w:rsidR="00140D18">
        <w:rPr>
          <w:rFonts w:cstheme="minorHAnsi"/>
        </w:rPr>
        <w:t xml:space="preserve">, </w:t>
      </w:r>
      <w:r w:rsidR="00B735B3">
        <w:rPr>
          <w:rFonts w:cstheme="minorHAnsi"/>
        </w:rPr>
        <w:t>measures</w:t>
      </w:r>
      <w:r w:rsidR="00140D18">
        <w:rPr>
          <w:rFonts w:cstheme="minorHAnsi"/>
        </w:rPr>
        <w:t>, and programmes</w:t>
      </w:r>
      <w:r w:rsidR="00B735B3">
        <w:rPr>
          <w:rFonts w:cstheme="minorHAnsi"/>
        </w:rPr>
        <w:t xml:space="preserve"> to </w:t>
      </w:r>
      <w:r>
        <w:rPr>
          <w:rFonts w:cstheme="minorHAnsi"/>
        </w:rPr>
        <w:t>empower</w:t>
      </w:r>
      <w:r w:rsidR="00467007">
        <w:rPr>
          <w:rFonts w:cstheme="minorHAnsi"/>
        </w:rPr>
        <w:t xml:space="preserve"> women’s participation</w:t>
      </w:r>
      <w:r w:rsidR="001703C3">
        <w:rPr>
          <w:rFonts w:cstheme="minorHAnsi"/>
        </w:rPr>
        <w:t xml:space="preserve"> </w:t>
      </w:r>
      <w:r w:rsidR="008A3F61">
        <w:rPr>
          <w:rFonts w:cstheme="minorHAnsi"/>
        </w:rPr>
        <w:t>in all sectors including non-traditional sectors</w:t>
      </w:r>
      <w:r w:rsidR="00384EFC">
        <w:rPr>
          <w:rFonts w:cstheme="minorHAnsi"/>
        </w:rPr>
        <w:t xml:space="preserve"> and </w:t>
      </w:r>
      <w:r>
        <w:rPr>
          <w:rFonts w:cstheme="minorHAnsi"/>
        </w:rPr>
        <w:t>facilitate</w:t>
      </w:r>
      <w:r w:rsidR="00384EFC">
        <w:rPr>
          <w:rFonts w:cstheme="minorHAnsi"/>
        </w:rPr>
        <w:t xml:space="preserve"> women’s return to the workforce. </w:t>
      </w:r>
    </w:p>
    <w:p w14:paraId="6A5902DC" w14:textId="378C86AA" w:rsidR="00755FFF" w:rsidRPr="00470E38" w:rsidRDefault="00CB25EB" w:rsidP="0045392A">
      <w:pPr>
        <w:pStyle w:val="ListParagraph"/>
        <w:numPr>
          <w:ilvl w:val="0"/>
          <w:numId w:val="13"/>
        </w:numPr>
        <w:rPr>
          <w:b/>
          <w:bCs/>
        </w:rPr>
      </w:pPr>
      <w:r w:rsidRPr="00470E38">
        <w:rPr>
          <w:b/>
          <w:bCs/>
        </w:rPr>
        <w:t>Legislation</w:t>
      </w:r>
      <w:r w:rsidR="00150858" w:rsidRPr="00470E38">
        <w:rPr>
          <w:b/>
          <w:bCs/>
        </w:rPr>
        <w:t xml:space="preserve"> and guidelines</w:t>
      </w:r>
      <w:r w:rsidR="000A3612">
        <w:rPr>
          <w:b/>
          <w:bCs/>
        </w:rPr>
        <w:t xml:space="preserve"> in the workplace</w:t>
      </w:r>
    </w:p>
    <w:p w14:paraId="1DB3AFF0" w14:textId="460FD465" w:rsidR="00882D07" w:rsidRDefault="00F41183" w:rsidP="00A31C3C">
      <w:pPr>
        <w:jc w:val="both"/>
      </w:pPr>
      <w:r w:rsidRPr="00F41183">
        <w:t>The Tripartite Alliance for Fair and Progressive Employment Practices</w:t>
      </w:r>
      <w:r w:rsidR="00755FFF">
        <w:t xml:space="preserve"> (TAFEP) was set up in 2006 by the tripartite partners (Ministry of Manpower (MOM), National Trades Union Congress (NTUC), and Singapore National Employers Federation), to promote the adoption of fair, responsible and progressive employment practices.</w:t>
      </w:r>
      <w:r w:rsidR="00F6260B">
        <w:t xml:space="preserve"> </w:t>
      </w:r>
      <w:r w:rsidR="00755FFF">
        <w:t>TAFEP</w:t>
      </w:r>
      <w:r w:rsidRPr="00F41183">
        <w:t xml:space="preserve"> looks into all cases of workplace discrimination and asks employers to correct deficient practices (e.g. through fair employment workshops, clinics). It may also refer cases to </w:t>
      </w:r>
      <w:r w:rsidR="00227297">
        <w:t>MOM</w:t>
      </w:r>
      <w:r w:rsidRPr="00F41183">
        <w:t xml:space="preserve">, which takes enforcement action where warranted. The Tripartite Alliance also conducts education and outreach to employers so that employers can take ownership of ensuring workplace fairness. </w:t>
      </w:r>
    </w:p>
    <w:p w14:paraId="47084756" w14:textId="171FB0C1" w:rsidR="00992624" w:rsidRPr="00470E38" w:rsidRDefault="00992624" w:rsidP="0045392A">
      <w:pPr>
        <w:pStyle w:val="ListParagraph"/>
        <w:numPr>
          <w:ilvl w:val="0"/>
          <w:numId w:val="14"/>
        </w:numPr>
        <w:jc w:val="both"/>
        <w:rPr>
          <w:i/>
          <w:iCs/>
        </w:rPr>
      </w:pPr>
      <w:r w:rsidRPr="00470E38">
        <w:rPr>
          <w:i/>
          <w:iCs/>
        </w:rPr>
        <w:t>Tripartite Guidelines on Fair Employment Practices (TGFEP)</w:t>
      </w:r>
    </w:p>
    <w:p w14:paraId="289092CD" w14:textId="6DAC499E" w:rsidR="00992624" w:rsidRPr="00F41183" w:rsidRDefault="00992624" w:rsidP="00671403">
      <w:pPr>
        <w:jc w:val="both"/>
      </w:pPr>
      <w:r w:rsidRPr="00F41183">
        <w:t>The TGFEP</w:t>
      </w:r>
      <w:r>
        <w:t xml:space="preserve"> </w:t>
      </w:r>
      <w:r w:rsidRPr="00F41183">
        <w:t xml:space="preserve">require </w:t>
      </w:r>
      <w:r w:rsidRPr="000D2D12">
        <w:t>organisations</w:t>
      </w:r>
      <w:r w:rsidRPr="00F41183">
        <w:t xml:space="preserve"> to adopt fair and merit-based employment practices. All employers in Singapore are expected to adhere to the TGFEP. </w:t>
      </w:r>
    </w:p>
    <w:p w14:paraId="439CB865" w14:textId="7D8D1794" w:rsidR="00F41183" w:rsidRDefault="00992624" w:rsidP="00671403">
      <w:pPr>
        <w:jc w:val="both"/>
      </w:pPr>
      <w:r>
        <w:t>According to the Guidelines, e</w:t>
      </w:r>
      <w:r w:rsidRPr="00F41183">
        <w:t xml:space="preserve">mployers must recruit and select employees on the basis of merit (such as skills, experience or ability to perform the job), and regardless of personal characteristics. Employers are also expected to remunerate employees fairly, taking into consideration factors such as ability, performance, contribution, skills, knowledge and experience. </w:t>
      </w:r>
    </w:p>
    <w:p w14:paraId="3D30557A" w14:textId="0ADF9680" w:rsidR="00530156" w:rsidRPr="00530156" w:rsidRDefault="006A4FFB" w:rsidP="0045392A">
      <w:pPr>
        <w:pStyle w:val="ListParagraph"/>
        <w:numPr>
          <w:ilvl w:val="0"/>
          <w:numId w:val="14"/>
        </w:numPr>
        <w:jc w:val="both"/>
      </w:pPr>
      <w:r>
        <w:rPr>
          <w:i/>
          <w:iCs/>
        </w:rPr>
        <w:t xml:space="preserve">Introduction of </w:t>
      </w:r>
      <w:r w:rsidR="00530156" w:rsidRPr="00470E38">
        <w:rPr>
          <w:i/>
          <w:iCs/>
        </w:rPr>
        <w:t>Workplace Fairness Legislation</w:t>
      </w:r>
    </w:p>
    <w:p w14:paraId="2D27DC0A" w14:textId="2235E9D1" w:rsidR="00530156" w:rsidRPr="00530156" w:rsidRDefault="00530156" w:rsidP="00671403">
      <w:pPr>
        <w:jc w:val="both"/>
      </w:pPr>
      <w:r w:rsidRPr="00530156">
        <w:t xml:space="preserve">In August </w:t>
      </w:r>
      <w:r w:rsidR="00846814">
        <w:t>2023</w:t>
      </w:r>
      <w:r w:rsidRPr="00530156">
        <w:t xml:space="preserve">, the Government accepted the </w:t>
      </w:r>
      <w:r w:rsidR="00427688">
        <w:t xml:space="preserve">Tripartite </w:t>
      </w:r>
      <w:r w:rsidRPr="00530156">
        <w:t>Committee</w:t>
      </w:r>
      <w:r w:rsidR="00115E95">
        <w:t xml:space="preserve"> on Workplace Fairness’</w:t>
      </w:r>
      <w:r w:rsidRPr="00530156">
        <w:t xml:space="preserve"> recommendations to</w:t>
      </w:r>
      <w:r w:rsidR="00BB7176">
        <w:t xml:space="preserve"> </w:t>
      </w:r>
      <w:r w:rsidRPr="00530156">
        <w:t xml:space="preserve">introduce a Workplace Fairness Legislation to strengthen our overall framework. The Committee recommended that the law prohibit common and familiar forms of workplace </w:t>
      </w:r>
      <w:r w:rsidRPr="00530156">
        <w:lastRenderedPageBreak/>
        <w:t xml:space="preserve">discrimination – these are based on (a) age, (b) nationality, (c) sex, marital status, pregnancy status, caregiving responsibilities, (d) race, religion, language; and (e) disability and mental health conditions. </w:t>
      </w:r>
    </w:p>
    <w:p w14:paraId="6D313F2D" w14:textId="77777777" w:rsidR="00530156" w:rsidRPr="00530156" w:rsidRDefault="00530156" w:rsidP="00671403">
      <w:pPr>
        <w:jc w:val="both"/>
      </w:pPr>
      <w:r w:rsidRPr="00530156">
        <w:t>With legislation, we can provide individuals an avenue to seek redress, and take more calibrated enforcement action against those who discriminate in the workplace.</w:t>
      </w:r>
    </w:p>
    <w:p w14:paraId="15518F7F" w14:textId="08178DEC" w:rsidR="00530156" w:rsidRPr="00530156" w:rsidRDefault="00530156" w:rsidP="00671403">
      <w:pPr>
        <w:jc w:val="both"/>
      </w:pPr>
      <w:r w:rsidRPr="00530156">
        <w:t>The law is expected to be tabled in Parliament later this year.</w:t>
      </w:r>
      <w:r w:rsidR="00470E38">
        <w:tab/>
      </w:r>
    </w:p>
    <w:p w14:paraId="772608E1" w14:textId="798E086C" w:rsidR="00530156" w:rsidRPr="00703E60" w:rsidRDefault="007F1AA2" w:rsidP="0045392A">
      <w:pPr>
        <w:pStyle w:val="ListParagraph"/>
        <w:numPr>
          <w:ilvl w:val="0"/>
          <w:numId w:val="13"/>
        </w:numPr>
        <w:rPr>
          <w:b/>
          <w:sz w:val="20"/>
          <w:szCs w:val="20"/>
        </w:rPr>
      </w:pPr>
      <w:r w:rsidRPr="00703E60">
        <w:rPr>
          <w:b/>
        </w:rPr>
        <w:t>Enabling women’s fuller participation in the workplace</w:t>
      </w:r>
    </w:p>
    <w:p w14:paraId="0D596675" w14:textId="4B02BDDD" w:rsidR="00BB3B6A" w:rsidRDefault="00BB3B6A" w:rsidP="00671403">
      <w:pPr>
        <w:jc w:val="both"/>
      </w:pPr>
      <w:r w:rsidRPr="004D1BB6">
        <w:t xml:space="preserve">Singapore continues to support all workers, including women, to enter and remain in the workforce, while managing both work and personal commitments. This includes working closely with Tripartite Partners and relevant stakeholders to promote the adoption of flexible work arrangements and other work-life harmony strategies, and build employers’ and HR capabilities to do so. </w:t>
      </w:r>
    </w:p>
    <w:p w14:paraId="37A867A6" w14:textId="77777777" w:rsidR="00AD44CF" w:rsidRDefault="00AD44CF" w:rsidP="00AD44CF">
      <w:pPr>
        <w:jc w:val="both"/>
      </w:pPr>
      <w:r>
        <w:t>The</w:t>
      </w:r>
      <w:r w:rsidRPr="00E236A3">
        <w:t xml:space="preserve"> Tripartite Standards on Flexible Work Arrangements, Unpaid Leave for Unexpected Care Needs and Work-Life Harmony</w:t>
      </w:r>
      <w:r>
        <w:t xml:space="preserve"> were introduced</w:t>
      </w:r>
      <w:r w:rsidRPr="00E236A3">
        <w:t xml:space="preserve"> in 2017, 2018 and 2021 respectively to encourage the adoption of best practices on flexible work arrangements, enhanced leave schemes and work-life harmony initiatives. The Alliance for Action on Work-Life Harmony in 2021 also brought together a community of stakeholders including employers, HR practitioners and employees to co-create work-life harmony initiatives and resources.</w:t>
      </w:r>
    </w:p>
    <w:p w14:paraId="26DB25E2" w14:textId="285183D2" w:rsidR="004D1BB6" w:rsidRPr="004D1BB6" w:rsidRDefault="00AB51BD" w:rsidP="00671403">
      <w:pPr>
        <w:jc w:val="both"/>
      </w:pPr>
      <w:r>
        <w:t>T</w:t>
      </w:r>
      <w:r w:rsidR="004D1BB6" w:rsidRPr="004D1BB6">
        <w:t>he proportion of employers who offer</w:t>
      </w:r>
      <w:r w:rsidR="00516E13">
        <w:t>ed</w:t>
      </w:r>
      <w:r w:rsidR="004D1BB6" w:rsidRPr="004D1BB6">
        <w:t xml:space="preserve"> at least one FWA on a sustained basis rose from 47% </w:t>
      </w:r>
      <w:r w:rsidR="00516E13">
        <w:t xml:space="preserve">in 2014 </w:t>
      </w:r>
      <w:r w:rsidR="004D1BB6" w:rsidRPr="004D1BB6">
        <w:t xml:space="preserve">to </w:t>
      </w:r>
      <w:r w:rsidR="0080026A">
        <w:t>68</w:t>
      </w:r>
      <w:r w:rsidR="004D1BB6" w:rsidRPr="004D1BB6">
        <w:t>%</w:t>
      </w:r>
      <w:r w:rsidR="00511A55">
        <w:rPr>
          <w:rStyle w:val="FootnoteReference"/>
        </w:rPr>
        <w:footnoteReference w:id="7"/>
      </w:r>
      <w:r w:rsidR="00E7405F">
        <w:t xml:space="preserve"> in 2023</w:t>
      </w:r>
      <w:r w:rsidR="004D1BB6" w:rsidRPr="004D1BB6">
        <w:t xml:space="preserve">. Among employees aged 25-64 who required </w:t>
      </w:r>
      <w:r w:rsidR="00047FCD">
        <w:t>at least one</w:t>
      </w:r>
      <w:r w:rsidR="004D1BB6" w:rsidRPr="004D1BB6">
        <w:t xml:space="preserve"> </w:t>
      </w:r>
      <w:r w:rsidR="00692361">
        <w:t xml:space="preserve">scheduled </w:t>
      </w:r>
      <w:r w:rsidR="004D1BB6" w:rsidRPr="004D1BB6">
        <w:t xml:space="preserve">FWA, </w:t>
      </w:r>
      <w:r w:rsidR="00E213A9">
        <w:t>84%</w:t>
      </w:r>
      <w:r w:rsidR="00141F51">
        <w:rPr>
          <w:rStyle w:val="FootnoteReference"/>
        </w:rPr>
        <w:footnoteReference w:id="8"/>
      </w:r>
      <w:r w:rsidR="004D1BB6" w:rsidRPr="004D1BB6">
        <w:t xml:space="preserve"> had access to the FWA that they required in 2022</w:t>
      </w:r>
      <w:r w:rsidR="00E213A9">
        <w:t>,</w:t>
      </w:r>
      <w:r w:rsidR="004D1BB6" w:rsidRPr="004D1BB6">
        <w:t xml:space="preserve"> up from </w:t>
      </w:r>
      <w:r w:rsidR="00890046">
        <w:t>66%</w:t>
      </w:r>
      <w:r w:rsidR="004D1BB6" w:rsidRPr="004D1BB6">
        <w:t xml:space="preserve"> in 2014.</w:t>
      </w:r>
    </w:p>
    <w:p w14:paraId="0C14FE0F" w14:textId="280F00B8" w:rsidR="00F267B7" w:rsidRDefault="00E97446" w:rsidP="0063474C">
      <w:pPr>
        <w:jc w:val="both"/>
        <w:rPr>
          <w:bCs/>
          <w:lang w:eastAsia="en-SG"/>
        </w:rPr>
      </w:pPr>
      <w:r>
        <w:t>In</w:t>
      </w:r>
      <w:r w:rsidR="00E236A3">
        <w:t xml:space="preserve"> April 2024, </w:t>
      </w:r>
      <w:r w:rsidR="00EB5A3C">
        <w:t xml:space="preserve">Singapore </w:t>
      </w:r>
      <w:r w:rsidR="00EB5A3C" w:rsidRPr="00FF1877">
        <w:rPr>
          <w:lang w:eastAsia="en-SG"/>
        </w:rPr>
        <w:t>introduc</w:t>
      </w:r>
      <w:r w:rsidR="00EB5A3C">
        <w:rPr>
          <w:lang w:eastAsia="en-SG"/>
        </w:rPr>
        <w:t>ed</w:t>
      </w:r>
      <w:r w:rsidR="00EB5A3C" w:rsidRPr="00FF1877">
        <w:rPr>
          <w:lang w:eastAsia="en-SG"/>
        </w:rPr>
        <w:t xml:space="preserve"> a new set of Tripartite Guidelines on FWA</w:t>
      </w:r>
      <w:r w:rsidR="00EB5A3C">
        <w:rPr>
          <w:lang w:eastAsia="en-SG"/>
        </w:rPr>
        <w:t xml:space="preserve"> Request</w:t>
      </w:r>
      <w:r w:rsidR="00EB5A3C" w:rsidRPr="00FF1877">
        <w:rPr>
          <w:lang w:eastAsia="en-SG"/>
        </w:rPr>
        <w:t xml:space="preserve">s, which will require employers to </w:t>
      </w:r>
      <w:r w:rsidR="00EB5A3C">
        <w:rPr>
          <w:lang w:eastAsia="en-SG"/>
        </w:rPr>
        <w:t xml:space="preserve">properly </w:t>
      </w:r>
      <w:r w:rsidR="00EB5A3C" w:rsidRPr="00FF1877">
        <w:rPr>
          <w:lang w:eastAsia="en-SG"/>
        </w:rPr>
        <w:t>consider FWA requests from employees.</w:t>
      </w:r>
      <w:r w:rsidR="00EB5A3C">
        <w:rPr>
          <w:lang w:eastAsia="en-SG"/>
        </w:rPr>
        <w:t xml:space="preserve"> </w:t>
      </w:r>
      <w:r w:rsidR="00E04BD3" w:rsidRPr="00E04BD3">
        <w:rPr>
          <w:bCs/>
          <w:lang w:eastAsia="en-SG"/>
        </w:rPr>
        <w:t>The mandatory guidelines will shape the right norms and expectations around FWA</w:t>
      </w:r>
      <w:r w:rsidR="00DB73DD">
        <w:rPr>
          <w:bCs/>
          <w:lang w:eastAsia="en-SG"/>
        </w:rPr>
        <w:t>s</w:t>
      </w:r>
      <w:r w:rsidR="00E04BD3" w:rsidRPr="00E04BD3">
        <w:rPr>
          <w:bCs/>
          <w:lang w:eastAsia="en-SG"/>
        </w:rPr>
        <w:t>, by setting out how employees should request for FWAs and use them, and how employers and supervisors should handle FWA requests.</w:t>
      </w:r>
    </w:p>
    <w:p w14:paraId="1C7F7809" w14:textId="3A7F2242" w:rsidR="00C17704" w:rsidRPr="00470E38" w:rsidRDefault="00DE4492" w:rsidP="0045392A">
      <w:pPr>
        <w:pStyle w:val="ListParagraph"/>
        <w:numPr>
          <w:ilvl w:val="0"/>
          <w:numId w:val="13"/>
        </w:numPr>
        <w:rPr>
          <w:b/>
          <w:lang w:eastAsia="en-SG"/>
        </w:rPr>
      </w:pPr>
      <w:r>
        <w:rPr>
          <w:b/>
          <w:lang w:eastAsia="en-SG"/>
        </w:rPr>
        <w:t>Increasing women’s participation in non-traditional sectors</w:t>
      </w:r>
    </w:p>
    <w:p w14:paraId="0E0FC0FE" w14:textId="49BC142F" w:rsidR="000C56BD" w:rsidRDefault="000C56BD" w:rsidP="0037685B">
      <w:pPr>
        <w:spacing w:line="259" w:lineRule="auto"/>
        <w:jc w:val="both"/>
        <w:rPr>
          <w:lang w:eastAsia="en-SG"/>
        </w:rPr>
      </w:pPr>
      <w:r>
        <w:rPr>
          <w:lang w:eastAsia="en-SG"/>
        </w:rPr>
        <w:t>Singapore’s women-</w:t>
      </w:r>
      <w:r w:rsidR="006B78AA">
        <w:rPr>
          <w:lang w:eastAsia="en-SG"/>
        </w:rPr>
        <w:t>representation</w:t>
      </w:r>
      <w:r>
        <w:rPr>
          <w:lang w:eastAsia="en-SG"/>
        </w:rPr>
        <w:t xml:space="preserve"> in enterprise leadership, </w:t>
      </w:r>
      <w:r w:rsidR="006B78AA">
        <w:rPr>
          <w:lang w:eastAsia="en-SG"/>
        </w:rPr>
        <w:t>entrepreneurship</w:t>
      </w:r>
      <w:r>
        <w:rPr>
          <w:lang w:eastAsia="en-SG"/>
        </w:rPr>
        <w:t xml:space="preserve">, and </w:t>
      </w:r>
      <w:r w:rsidR="00BD449B">
        <w:rPr>
          <w:lang w:eastAsia="en-SG"/>
        </w:rPr>
        <w:t xml:space="preserve">non-traditional sectors such as </w:t>
      </w:r>
      <w:r>
        <w:rPr>
          <w:lang w:eastAsia="en-SG"/>
        </w:rPr>
        <w:t>technology continues to be encouraging.</w:t>
      </w:r>
    </w:p>
    <w:p w14:paraId="7CD836BA" w14:textId="5588701C" w:rsidR="000C56BD" w:rsidRDefault="006B78AA" w:rsidP="0037685B">
      <w:pPr>
        <w:spacing w:line="259" w:lineRule="auto"/>
        <w:jc w:val="both"/>
        <w:rPr>
          <w:lang w:eastAsia="en-SG"/>
        </w:rPr>
      </w:pPr>
      <w:r w:rsidRPr="006B78AA">
        <w:rPr>
          <w:lang w:eastAsia="en-SG"/>
        </w:rPr>
        <w:t>In 2021, Singapore had the world-highest proportion of female CEOs. According to a study by Deloitte, around one in eight companies in Singapore had female CEOs, which was the highest proportion globally and more than double the global average</w:t>
      </w:r>
      <w:r w:rsidRPr="006B78AA">
        <w:rPr>
          <w:vertAlign w:val="superscript"/>
          <w:lang w:eastAsia="en-SG"/>
        </w:rPr>
        <w:footnoteReference w:id="9"/>
      </w:r>
      <w:r w:rsidRPr="006B78AA">
        <w:rPr>
          <w:lang w:eastAsia="en-SG"/>
        </w:rPr>
        <w:t>.</w:t>
      </w:r>
      <w:r w:rsidR="00A4090E">
        <w:rPr>
          <w:lang w:eastAsia="en-SG"/>
        </w:rPr>
        <w:t xml:space="preserve"> </w:t>
      </w:r>
    </w:p>
    <w:p w14:paraId="120ABA7F" w14:textId="62A073BA" w:rsidR="001D7F73" w:rsidRDefault="001D7F73" w:rsidP="008765EE">
      <w:pPr>
        <w:pStyle w:val="BodyText2"/>
        <w:spacing w:line="259" w:lineRule="auto"/>
        <w:rPr>
          <w:lang w:eastAsia="en-SG"/>
        </w:rPr>
      </w:pPr>
      <w:r w:rsidRPr="001D7F73">
        <w:rPr>
          <w:lang w:eastAsia="en-SG"/>
        </w:rPr>
        <w:t>In 2021, majority women-owned companies accounted for a quarter (25.5%) of economic active companies where Singapore residents hold more than 50% ordinary shares. Meanwhile, majority men-owned companies accounted for 64.7% of such companies. The top four industries for majority women-</w:t>
      </w:r>
      <w:r w:rsidRPr="001D7F73">
        <w:rPr>
          <w:lang w:eastAsia="en-SG"/>
        </w:rPr>
        <w:lastRenderedPageBreak/>
        <w:t>owned companies are professional services, wholesale trade, education</w:t>
      </w:r>
      <w:r w:rsidR="00EA38B0">
        <w:rPr>
          <w:lang w:eastAsia="en-SG"/>
        </w:rPr>
        <w:t xml:space="preserve"> and </w:t>
      </w:r>
      <w:r w:rsidRPr="001D7F73">
        <w:rPr>
          <w:lang w:eastAsia="en-SG"/>
        </w:rPr>
        <w:t>personal services</w:t>
      </w:r>
      <w:r w:rsidR="00EA38B0">
        <w:rPr>
          <w:lang w:eastAsia="en-SG"/>
        </w:rPr>
        <w:t>,</w:t>
      </w:r>
      <w:r w:rsidRPr="001D7F73">
        <w:rPr>
          <w:lang w:eastAsia="en-SG"/>
        </w:rPr>
        <w:t xml:space="preserve"> and retail trade.</w:t>
      </w:r>
    </w:p>
    <w:p w14:paraId="388A0353" w14:textId="33AD554E" w:rsidR="00E1137A" w:rsidRDefault="00E1137A" w:rsidP="000243BB">
      <w:pPr>
        <w:spacing w:after="0" w:line="240" w:lineRule="auto"/>
        <w:contextualSpacing/>
        <w:jc w:val="both"/>
        <w:rPr>
          <w:rFonts w:cs="Arial"/>
          <w:szCs w:val="24"/>
        </w:rPr>
      </w:pPr>
      <w:r>
        <w:rPr>
          <w:rFonts w:cs="Arial"/>
          <w:szCs w:val="24"/>
        </w:rPr>
        <w:t>I</w:t>
      </w:r>
      <w:r w:rsidRPr="0003110A">
        <w:rPr>
          <w:rFonts w:cs="Arial"/>
          <w:szCs w:val="24"/>
        </w:rPr>
        <w:t>n the 2022 IMD World Digital Competitiveness Ranking</w:t>
      </w:r>
      <w:r>
        <w:rPr>
          <w:rFonts w:cs="Arial"/>
          <w:szCs w:val="24"/>
        </w:rPr>
        <w:t xml:space="preserve">, </w:t>
      </w:r>
      <w:r w:rsidRPr="0003110A">
        <w:rPr>
          <w:rFonts w:cs="Arial"/>
          <w:szCs w:val="24"/>
        </w:rPr>
        <w:t>Singapore is ranked 4th globally, and the top Asian country in the 2022 IMD World Digital Competitiveness Ranking.</w:t>
      </w:r>
      <w:r>
        <w:rPr>
          <w:rFonts w:cs="Arial"/>
          <w:szCs w:val="24"/>
        </w:rPr>
        <w:t xml:space="preserve"> </w:t>
      </w:r>
      <w:r w:rsidRPr="00CA2E6E">
        <w:rPr>
          <w:rFonts w:cs="Arial"/>
          <w:szCs w:val="24"/>
        </w:rPr>
        <w:t xml:space="preserve">We </w:t>
      </w:r>
      <w:r>
        <w:rPr>
          <w:rFonts w:cs="Arial"/>
          <w:szCs w:val="24"/>
        </w:rPr>
        <w:t xml:space="preserve">also </w:t>
      </w:r>
      <w:r w:rsidRPr="00CA2E6E">
        <w:rPr>
          <w:rFonts w:cs="Arial"/>
          <w:szCs w:val="24"/>
        </w:rPr>
        <w:t>have one of the highest proportions globally of women in the technology workforce.</w:t>
      </w:r>
      <w:r>
        <w:t xml:space="preserve"> W</w:t>
      </w:r>
      <w:r w:rsidRPr="00374644">
        <w:t xml:space="preserve">omen comprise </w:t>
      </w:r>
      <w:r w:rsidRPr="00374644">
        <w:rPr>
          <w:bCs/>
        </w:rPr>
        <w:t xml:space="preserve">41% of our tech workforce, </w:t>
      </w:r>
      <w:r>
        <w:rPr>
          <w:bCs/>
        </w:rPr>
        <w:t>higher than</w:t>
      </w:r>
      <w:r w:rsidRPr="00374644">
        <w:rPr>
          <w:bCs/>
        </w:rPr>
        <w:t xml:space="preserve"> the global average of 28%.  </w:t>
      </w:r>
    </w:p>
    <w:p w14:paraId="69072071" w14:textId="77777777" w:rsidR="000243BB" w:rsidRPr="000243BB" w:rsidRDefault="000243BB" w:rsidP="000243BB">
      <w:pPr>
        <w:spacing w:after="0" w:line="240" w:lineRule="auto"/>
        <w:contextualSpacing/>
        <w:jc w:val="both"/>
        <w:rPr>
          <w:rFonts w:cs="Arial"/>
          <w:szCs w:val="24"/>
        </w:rPr>
      </w:pPr>
    </w:p>
    <w:p w14:paraId="64017C7D" w14:textId="41C0276E" w:rsidR="00C86EC3" w:rsidRDefault="00C86EC3" w:rsidP="0045392A">
      <w:pPr>
        <w:pStyle w:val="ListParagraph"/>
        <w:numPr>
          <w:ilvl w:val="0"/>
          <w:numId w:val="43"/>
        </w:numPr>
        <w:spacing w:line="259" w:lineRule="auto"/>
        <w:jc w:val="both"/>
        <w:rPr>
          <w:lang w:eastAsia="en-SG"/>
        </w:rPr>
      </w:pPr>
      <w:r>
        <w:rPr>
          <w:i/>
          <w:iCs/>
          <w:lang w:eastAsia="en-SG"/>
        </w:rPr>
        <w:t>Industry support</w:t>
      </w:r>
    </w:p>
    <w:p w14:paraId="1041B5EE" w14:textId="6ED519FF" w:rsidR="00C86EC3" w:rsidRPr="000243BB" w:rsidRDefault="005616EF" w:rsidP="000243BB">
      <w:pPr>
        <w:spacing w:line="259" w:lineRule="auto"/>
        <w:jc w:val="both"/>
        <w:rPr>
          <w:lang w:eastAsia="en-SG"/>
        </w:rPr>
      </w:pPr>
      <w:r w:rsidRPr="005616EF">
        <w:rPr>
          <w:lang w:eastAsia="en-SG"/>
        </w:rPr>
        <w:t>The government’s partners in the business community also have initiatives to support women entrepreneurs, such as the Women in Sustainability &amp; Environment (WISE)</w:t>
      </w:r>
      <w:r w:rsidR="003079C0">
        <w:rPr>
          <w:lang w:eastAsia="en-SG"/>
        </w:rPr>
        <w:t xml:space="preserve"> launched in 2021</w:t>
      </w:r>
      <w:r w:rsidRPr="005616EF">
        <w:rPr>
          <w:lang w:eastAsia="en-SG"/>
        </w:rPr>
        <w:t>, which aims to ensure a strong, equal voice and representation of women in the business of sustainability whether as a consumer, investor or professional</w:t>
      </w:r>
      <w:r>
        <w:rPr>
          <w:lang w:eastAsia="en-SG"/>
        </w:rPr>
        <w:t>.</w:t>
      </w:r>
    </w:p>
    <w:p w14:paraId="43ED199E" w14:textId="08FC442B" w:rsidR="00C86EC3" w:rsidRPr="00382AD5" w:rsidRDefault="00C86EC3" w:rsidP="00C86EC3">
      <w:pPr>
        <w:jc w:val="both"/>
      </w:pPr>
      <w:r w:rsidRPr="00382AD5">
        <w:t xml:space="preserve">In 2019, the </w:t>
      </w:r>
      <w:proofErr w:type="spellStart"/>
      <w:r w:rsidR="00452A2B">
        <w:rPr>
          <w:lang w:eastAsia="en-SG"/>
        </w:rPr>
        <w:t>Infocomm</w:t>
      </w:r>
      <w:proofErr w:type="spellEnd"/>
      <w:r w:rsidR="00452A2B">
        <w:rPr>
          <w:lang w:eastAsia="en-SG"/>
        </w:rPr>
        <w:t xml:space="preserve"> Media Development Authority (IMDA) </w:t>
      </w:r>
      <w:r w:rsidRPr="00382AD5">
        <w:t xml:space="preserve">started the SG Women in Tech (SG </w:t>
      </w:r>
      <w:proofErr w:type="spellStart"/>
      <w:r w:rsidRPr="00382AD5">
        <w:t>WiT</w:t>
      </w:r>
      <w:proofErr w:type="spellEnd"/>
      <w:r w:rsidRPr="00382AD5">
        <w:t xml:space="preserve">) initiative with support from community and industry partners, to attract, retain and develop women talent in the </w:t>
      </w:r>
      <w:proofErr w:type="spellStart"/>
      <w:r w:rsidRPr="00382AD5">
        <w:t>infocomm</w:t>
      </w:r>
      <w:proofErr w:type="spellEnd"/>
      <w:r w:rsidRPr="00382AD5">
        <w:t xml:space="preserve"> workforce. </w:t>
      </w:r>
      <w:r>
        <w:t xml:space="preserve">As of today, the programme </w:t>
      </w:r>
      <w:r w:rsidRPr="002656F9">
        <w:t>has reached more than 123,000 people.  </w:t>
      </w:r>
    </w:p>
    <w:p w14:paraId="79FC980A" w14:textId="77777777" w:rsidR="00C86EC3" w:rsidRPr="002656F9" w:rsidRDefault="00C86EC3" w:rsidP="00C86EC3">
      <w:pPr>
        <w:jc w:val="both"/>
      </w:pPr>
      <w:r w:rsidRPr="002656F9">
        <w:t xml:space="preserve">The SG Women in Tech Corporate Pledge was introduced </w:t>
      </w:r>
      <w:r w:rsidRPr="00382AD5">
        <w:rPr>
          <w:rStyle w:val="A13"/>
          <w:sz w:val="22"/>
          <w:szCs w:val="22"/>
        </w:rPr>
        <w:t xml:space="preserve">to encourage companies to implement concrete measures to attract, retain and develop more women in tech. To date, </w:t>
      </w:r>
      <w:r>
        <w:rPr>
          <w:rStyle w:val="A13"/>
          <w:sz w:val="22"/>
          <w:szCs w:val="22"/>
        </w:rPr>
        <w:t>64</w:t>
      </w:r>
      <w:r w:rsidRPr="00382AD5">
        <w:rPr>
          <w:rStyle w:val="A13"/>
          <w:sz w:val="22"/>
          <w:szCs w:val="22"/>
        </w:rPr>
        <w:t xml:space="preserve"> companies </w:t>
      </w:r>
      <w:r w:rsidRPr="002656F9">
        <w:t>including MNCs like Amazon, PayPal and Microsoft, and local unicorns like Razer and Shopee</w:t>
      </w:r>
      <w:r w:rsidRPr="00382AD5">
        <w:rPr>
          <w:rStyle w:val="A13"/>
          <w:sz w:val="22"/>
          <w:szCs w:val="22"/>
        </w:rPr>
        <w:t xml:space="preserve"> have </w:t>
      </w:r>
      <w:r w:rsidRPr="002656F9">
        <w:t>come on board with concrete measures to support women, such as coaching and mentorship programmes, as well as a commitment to fair hiring practices</w:t>
      </w:r>
      <w:r>
        <w:t>.</w:t>
      </w:r>
    </w:p>
    <w:p w14:paraId="6A61A912" w14:textId="77777777" w:rsidR="00C86EC3" w:rsidRPr="002656F9" w:rsidRDefault="00C86EC3" w:rsidP="00C86EC3">
      <w:pPr>
        <w:jc w:val="both"/>
      </w:pPr>
      <w:r w:rsidRPr="002656F9">
        <w:t>There is also a Girls in Tech movement which provides a platform for young female students to pursue their interest in tech, and eventually a tech career.  </w:t>
      </w:r>
    </w:p>
    <w:p w14:paraId="3FA0180B" w14:textId="77777777" w:rsidR="00C86EC3" w:rsidRPr="002656F9" w:rsidRDefault="00C86EC3" w:rsidP="00C86EC3">
      <w:pPr>
        <w:jc w:val="both"/>
      </w:pPr>
      <w:r w:rsidRPr="002656F9">
        <w:t xml:space="preserve">We have also </w:t>
      </w:r>
      <w:r>
        <w:t>worked with</w:t>
      </w:r>
      <w:r w:rsidRPr="002656F9">
        <w:t xml:space="preserve"> industry on the SG100 Women in Tech List, to profile women from diverse backgrounds and ages who </w:t>
      </w:r>
      <w:r>
        <w:t>have</w:t>
      </w:r>
      <w:r w:rsidRPr="002656F9">
        <w:t xml:space="preserve"> successful tech-related careers. These role models inspire, motivate and mentor younger women in the industry, and help to challenge the false perception that men are more suited for careers in tech.  </w:t>
      </w:r>
    </w:p>
    <w:p w14:paraId="423B8485" w14:textId="446E15DC" w:rsidR="00C86EC3" w:rsidRPr="00F267B7" w:rsidRDefault="00C86EC3" w:rsidP="00F267B7">
      <w:pPr>
        <w:jc w:val="both"/>
      </w:pPr>
      <w:r w:rsidRPr="002656F9">
        <w:t>At the community and private sector level, there are efforts by women’s organisations such as United Women Singapore. United Women Singapore, in partnership with Citi Foundation, launched the “STEM First” programme to provide female students with STEM training and mentorship. </w:t>
      </w:r>
      <w:r w:rsidR="002F7F2D">
        <w:t>The UWS Girls2Pioneers programme, into its 10</w:t>
      </w:r>
      <w:r w:rsidR="002F7F2D" w:rsidRPr="00CE3618">
        <w:rPr>
          <w:vertAlign w:val="superscript"/>
        </w:rPr>
        <w:t>th</w:t>
      </w:r>
      <w:r w:rsidR="002F7F2D">
        <w:t xml:space="preserve"> year, </w:t>
      </w:r>
      <w:r w:rsidR="009F2B1F">
        <w:t xml:space="preserve">also </w:t>
      </w:r>
      <w:r w:rsidR="002F7F2D">
        <w:t>empowers and encourages young women to take up STEM subjects and pursue careers in these fields.</w:t>
      </w:r>
      <w:r w:rsidRPr="002656F9">
        <w:t> </w:t>
      </w:r>
    </w:p>
    <w:p w14:paraId="3346E325" w14:textId="33491807" w:rsidR="00147349" w:rsidRPr="00470E38" w:rsidRDefault="00C8562E" w:rsidP="0045392A">
      <w:pPr>
        <w:pStyle w:val="ListParagraph"/>
        <w:numPr>
          <w:ilvl w:val="0"/>
          <w:numId w:val="13"/>
        </w:numPr>
        <w:rPr>
          <w:b/>
          <w:bCs/>
        </w:rPr>
      </w:pPr>
      <w:r w:rsidRPr="00470E38">
        <w:rPr>
          <w:b/>
          <w:bCs/>
        </w:rPr>
        <w:t>Career facilitation support</w:t>
      </w:r>
    </w:p>
    <w:p w14:paraId="41082F19" w14:textId="4EB9B047" w:rsidR="00FD1BB0" w:rsidRDefault="00571C85" w:rsidP="0037685B">
      <w:pPr>
        <w:jc w:val="both"/>
      </w:pPr>
      <w:r w:rsidRPr="00571C85">
        <w:t xml:space="preserve">Workforce Singapore’s (WSG) and NTUC’s Employment and Employability Institute’s (e2i) suite of career facilitation services and programmes provide support to all jobseekers, including women looking to return to the workforce. </w:t>
      </w:r>
      <w:r w:rsidR="00FD1BB0" w:rsidRPr="00FD1BB0">
        <w:t>Since 2018, WSG and e2i have nearly doubled the number of women placed in jobs. Close to 50% of WSG and e2i job placements are women, similar to the share of the labour force (</w:t>
      </w:r>
      <w:r w:rsidR="002B762B">
        <w:t>47.2% in 2023</w:t>
      </w:r>
      <w:r w:rsidR="00FD1BB0" w:rsidRPr="00FD1BB0">
        <w:t>).</w:t>
      </w:r>
    </w:p>
    <w:p w14:paraId="48B58D7B" w14:textId="37993B5D" w:rsidR="00571C85" w:rsidRDefault="00571C85" w:rsidP="0037685B">
      <w:pPr>
        <w:jc w:val="both"/>
      </w:pPr>
      <w:r w:rsidRPr="00571C85">
        <w:t>Jobseekers who need employment assistance can approach WSG’s Careers Connect, NTUC’s e2i</w:t>
      </w:r>
      <w:r w:rsidR="000E6609">
        <w:t xml:space="preserve"> </w:t>
      </w:r>
      <w:r w:rsidRPr="00571C85">
        <w:t xml:space="preserve">career centres, or Jobs and Skills Centres across Singapore. Jobseekers can also tap on the </w:t>
      </w:r>
      <w:proofErr w:type="spellStart"/>
      <w:r w:rsidRPr="00571C85">
        <w:t>MyCareersFuture</w:t>
      </w:r>
      <w:proofErr w:type="spellEnd"/>
      <w:r w:rsidRPr="00571C85">
        <w:t xml:space="preserve"> </w:t>
      </w:r>
      <w:r w:rsidRPr="00571C85">
        <w:lastRenderedPageBreak/>
        <w:t>portal to search for jobs that best suit their skillsets. Jobseekers can also participate in WSG’s career advisory and workshops, which allow them to receive advice and guidance on job search strategies such as resume writing, interview techniques, leveraging on networking platforms and job portals to improve outcomes of their job search.</w:t>
      </w:r>
      <w:r w:rsidR="00126865">
        <w:t xml:space="preserve"> </w:t>
      </w:r>
    </w:p>
    <w:p w14:paraId="6D6E1B38" w14:textId="1AB1BC95" w:rsidR="00854FCF" w:rsidRPr="00421111" w:rsidRDefault="008514E8" w:rsidP="0063474C">
      <w:pPr>
        <w:pStyle w:val="ListParagraph"/>
        <w:numPr>
          <w:ilvl w:val="0"/>
          <w:numId w:val="13"/>
        </w:numPr>
        <w:jc w:val="both"/>
        <w:rPr>
          <w:b/>
          <w:bCs/>
        </w:rPr>
      </w:pPr>
      <w:r>
        <w:rPr>
          <w:b/>
          <w:bCs/>
        </w:rPr>
        <w:t>Protection for Migrant Domestic Workers</w:t>
      </w:r>
      <w:r w:rsidR="00F201CC">
        <w:rPr>
          <w:b/>
          <w:bCs/>
        </w:rPr>
        <w:t xml:space="preserve"> (MDWs)</w:t>
      </w:r>
    </w:p>
    <w:p w14:paraId="151D8672" w14:textId="5FDAEBA7" w:rsidR="00F92AA0" w:rsidRDefault="00854FCF" w:rsidP="00F92AA0">
      <w:pPr>
        <w:jc w:val="both"/>
      </w:pPr>
      <w:r w:rsidRPr="00BB4E1C">
        <w:t xml:space="preserve">Singapore’s approach to safeguarding MDWs’ well-being is to legislate protection for MDWs under the Employment of Foreign Manpower Act </w:t>
      </w:r>
      <w:r>
        <w:t>(EFMA)</w:t>
      </w:r>
      <w:r w:rsidR="00630129">
        <w:t xml:space="preserve">. </w:t>
      </w:r>
      <w:r w:rsidR="00F92AA0">
        <w:t xml:space="preserve">The EFMA </w:t>
      </w:r>
      <w:r w:rsidR="00F92AA0" w:rsidRPr="00206222">
        <w:t>regulate</w:t>
      </w:r>
      <w:r w:rsidR="00F92AA0">
        <w:t>s</w:t>
      </w:r>
      <w:r w:rsidR="00F92AA0" w:rsidRPr="00206222">
        <w:t xml:space="preserve"> the employment of MDWs and protects their well-being</w:t>
      </w:r>
      <w:r w:rsidR="0043411C">
        <w:rPr>
          <w:color w:val="000000" w:themeColor="text1"/>
          <w:lang w:val="en-GB"/>
        </w:rPr>
        <w:t>, e.g. ensuring</w:t>
      </w:r>
      <w:r w:rsidR="00F92AA0">
        <w:rPr>
          <w:color w:val="000000" w:themeColor="text1"/>
          <w:lang w:val="en-GB"/>
        </w:rPr>
        <w:t xml:space="preserve"> </w:t>
      </w:r>
      <w:r w:rsidR="00F92AA0" w:rsidRPr="00FD2528">
        <w:rPr>
          <w:color w:val="000000" w:themeColor="text1"/>
          <w:lang w:val="en-GB"/>
        </w:rPr>
        <w:t xml:space="preserve">the provision of medical care, </w:t>
      </w:r>
      <w:r w:rsidR="00F92AA0">
        <w:rPr>
          <w:color w:val="000000" w:themeColor="text1"/>
          <w:lang w:val="en-GB"/>
        </w:rPr>
        <w:t xml:space="preserve">proper accommodation, adequate food and rest, </w:t>
      </w:r>
      <w:r w:rsidR="00F92AA0" w:rsidRPr="00FD2528">
        <w:rPr>
          <w:color w:val="000000" w:themeColor="text1"/>
          <w:lang w:val="en-GB"/>
        </w:rPr>
        <w:t>a safe working environment, and timely payment of salaries</w:t>
      </w:r>
      <w:r w:rsidR="00F92AA0" w:rsidRPr="2E3566D2">
        <w:rPr>
          <w:color w:val="000000" w:themeColor="text1"/>
          <w:lang w:val="en-GB"/>
        </w:rPr>
        <w:t>.</w:t>
      </w:r>
    </w:p>
    <w:p w14:paraId="7DF95EBD" w14:textId="1E1947FD" w:rsidR="002038DB" w:rsidRDefault="00980942" w:rsidP="00421111">
      <w:pPr>
        <w:jc w:val="both"/>
      </w:pPr>
      <w:r>
        <w:t xml:space="preserve">On medical care, the EFMA ensures comprehensive protection by requiring all employers to bear the medical expenses </w:t>
      </w:r>
      <w:r w:rsidR="009F78AD">
        <w:t xml:space="preserve">of their </w:t>
      </w:r>
      <w:r>
        <w:t>MDWs</w:t>
      </w:r>
      <w:r w:rsidR="007B36EC">
        <w:t>. Employers are required to purchase medical insurance</w:t>
      </w:r>
      <w:r w:rsidR="002038DB">
        <w:t xml:space="preserve"> (with a coverage of at least </w:t>
      </w:r>
      <w:r w:rsidR="009E3DB5">
        <w:t xml:space="preserve">SGD </w:t>
      </w:r>
      <w:r w:rsidR="002038DB">
        <w:t>$60,000 a year)</w:t>
      </w:r>
      <w:r w:rsidR="007B36EC">
        <w:t xml:space="preserve"> and personal accident insurance</w:t>
      </w:r>
      <w:r w:rsidR="002038DB">
        <w:t xml:space="preserve"> (with a coverage of at least </w:t>
      </w:r>
      <w:r w:rsidR="009E3DB5">
        <w:t xml:space="preserve">SGD </w:t>
      </w:r>
      <w:r w:rsidR="002038DB">
        <w:t>$60,000 a year)</w:t>
      </w:r>
      <w:r w:rsidR="007B36EC">
        <w:t xml:space="preserve"> to </w:t>
      </w:r>
      <w:r w:rsidR="002D7598">
        <w:t xml:space="preserve">help them </w:t>
      </w:r>
      <w:r w:rsidR="00781FDE">
        <w:t xml:space="preserve">meet their </w:t>
      </w:r>
      <w:r w:rsidR="00656B89">
        <w:t>obligations.</w:t>
      </w:r>
      <w:r w:rsidR="007B36EC">
        <w:t xml:space="preserve"> </w:t>
      </w:r>
      <w:r w:rsidR="002038DB">
        <w:t>Employers are not allowed to pass on the cost of medical expenses to their MDW</w:t>
      </w:r>
      <w:r w:rsidR="00192C25">
        <w:t>s</w:t>
      </w:r>
      <w:r w:rsidR="002038DB">
        <w:t xml:space="preserve">, </w:t>
      </w:r>
      <w:r w:rsidR="00DC02D3">
        <w:t xml:space="preserve">and action is taken against </w:t>
      </w:r>
      <w:r w:rsidR="00192C25">
        <w:t>those</w:t>
      </w:r>
      <w:r w:rsidR="00DC02D3">
        <w:t xml:space="preserve"> who breach our laws. </w:t>
      </w:r>
    </w:p>
    <w:p w14:paraId="48027AA9" w14:textId="787A2053" w:rsidR="00CB25EB" w:rsidRDefault="00F10250" w:rsidP="00421111">
      <w:pPr>
        <w:jc w:val="both"/>
      </w:pPr>
      <w:r w:rsidRPr="069981A9">
        <w:t>In addition</w:t>
      </w:r>
      <w:r w:rsidR="001827E6" w:rsidRPr="069981A9">
        <w:t xml:space="preserve"> to EFMA</w:t>
      </w:r>
      <w:r w:rsidRPr="069981A9">
        <w:t>, Singapore has</w:t>
      </w:r>
      <w:r w:rsidR="001827E6" w:rsidRPr="069981A9">
        <w:t xml:space="preserve"> also</w:t>
      </w:r>
      <w:r w:rsidRPr="069981A9">
        <w:t xml:space="preserve"> put in place a comprehensive framework that includes regularly educating employers and MDWs on their rights and obligations, and working closely with partners to conduct interviews, post-placement checks and recreational activities and training courses for MDWs. </w:t>
      </w:r>
      <w:r w:rsidRPr="069981A9" w:rsidDel="00F41FEE">
        <w:t xml:space="preserve"> </w:t>
      </w:r>
    </w:p>
    <w:p w14:paraId="084D8566" w14:textId="4DC13D01" w:rsidR="0063474C" w:rsidRDefault="00D62520" w:rsidP="00421111">
      <w:pPr>
        <w:jc w:val="both"/>
        <w:rPr>
          <w:bCs/>
        </w:rPr>
      </w:pPr>
      <w:r>
        <w:rPr>
          <w:bCs/>
        </w:rPr>
        <w:t>Further, the Penal Code</w:t>
      </w:r>
      <w:r w:rsidR="00461458">
        <w:rPr>
          <w:bCs/>
        </w:rPr>
        <w:t xml:space="preserve"> was amended in 2019 to enhance protection for</w:t>
      </w:r>
      <w:r>
        <w:rPr>
          <w:bCs/>
        </w:rPr>
        <w:t xml:space="preserve"> MDWs. </w:t>
      </w:r>
      <w:r w:rsidR="00461458">
        <w:rPr>
          <w:bCs/>
        </w:rPr>
        <w:t xml:space="preserve">Employers, members of the employers’ household and employment agents who abuse MDWs are liable to be punished with up to twice the maximum penalty for an offence. </w:t>
      </w:r>
    </w:p>
    <w:p w14:paraId="2061AC4E" w14:textId="77777777" w:rsidR="00CA1B58" w:rsidRPr="00461458" w:rsidRDefault="00CA1B58" w:rsidP="00421111">
      <w:pPr>
        <w:jc w:val="both"/>
        <w:rPr>
          <w:bCs/>
        </w:rPr>
      </w:pPr>
    </w:p>
    <w:p w14:paraId="5E5F554D" w14:textId="4289A3C1" w:rsidR="003E4164" w:rsidRDefault="00996C88" w:rsidP="0045392A">
      <w:pPr>
        <w:pStyle w:val="Heading3"/>
        <w:numPr>
          <w:ilvl w:val="0"/>
          <w:numId w:val="45"/>
        </w:numPr>
        <w:rPr>
          <w:b/>
          <w:u w:val="single"/>
        </w:rPr>
      </w:pPr>
      <w:bookmarkStart w:id="13" w:name="_Toc169709876"/>
      <w:r w:rsidRPr="00996C88">
        <w:rPr>
          <w:b/>
          <w:bCs/>
          <w:u w:val="single"/>
        </w:rPr>
        <w:t xml:space="preserve">Strengthening </w:t>
      </w:r>
      <w:r w:rsidR="000243BB">
        <w:rPr>
          <w:b/>
          <w:bCs/>
          <w:u w:val="single"/>
        </w:rPr>
        <w:t>S</w:t>
      </w:r>
      <w:r w:rsidRPr="00996C88">
        <w:rPr>
          <w:b/>
          <w:bCs/>
          <w:u w:val="single"/>
        </w:rPr>
        <w:t xml:space="preserve">upport for </w:t>
      </w:r>
      <w:r w:rsidR="000243BB">
        <w:rPr>
          <w:b/>
          <w:bCs/>
          <w:u w:val="single"/>
        </w:rPr>
        <w:t>C</w:t>
      </w:r>
      <w:r w:rsidR="00D11254" w:rsidRPr="00996C88">
        <w:rPr>
          <w:b/>
          <w:bCs/>
          <w:u w:val="single"/>
        </w:rPr>
        <w:t xml:space="preserve">aregiving </w:t>
      </w:r>
      <w:r w:rsidR="00156D22" w:rsidRPr="00996C88">
        <w:rPr>
          <w:b/>
          <w:bCs/>
          <w:u w:val="single"/>
        </w:rPr>
        <w:t xml:space="preserve">and </w:t>
      </w:r>
      <w:r w:rsidR="000243BB">
        <w:rPr>
          <w:b/>
          <w:bCs/>
          <w:u w:val="single"/>
        </w:rPr>
        <w:t>D</w:t>
      </w:r>
      <w:r w:rsidR="00156D22" w:rsidRPr="00996C88">
        <w:rPr>
          <w:b/>
          <w:bCs/>
          <w:u w:val="single"/>
        </w:rPr>
        <w:t xml:space="preserve">omestic </w:t>
      </w:r>
      <w:r w:rsidR="000243BB">
        <w:rPr>
          <w:b/>
          <w:bCs/>
          <w:u w:val="single"/>
        </w:rPr>
        <w:t>W</w:t>
      </w:r>
      <w:r w:rsidR="00156D22" w:rsidRPr="00996C88">
        <w:rPr>
          <w:b/>
          <w:bCs/>
          <w:u w:val="single"/>
        </w:rPr>
        <w:t>ork</w:t>
      </w:r>
      <w:bookmarkEnd w:id="13"/>
    </w:p>
    <w:p w14:paraId="1B9C23F0" w14:textId="39D93F54" w:rsidR="003E4164" w:rsidRDefault="003E4164" w:rsidP="009A364F">
      <w:pPr>
        <w:jc w:val="both"/>
      </w:pPr>
      <w:r w:rsidRPr="003E4164">
        <w:t xml:space="preserve">Countries all over the world are facing the problem of ageing populations. Singapore is one of them. In fact, we have one of the world’s lowest fertility rates. And at the same time, one of the world’s longest life expectancies. Therefore, it is exceptionally important for Singapore to adapt and respond to the needs and priorities within our society as a result of our changing demographics, in particular at the workplace. We continue to support all workers, including parents and caregivers, to enter and remain in the workforce, while managing both professional and personal commitments. </w:t>
      </w:r>
    </w:p>
    <w:p w14:paraId="0B94AC79" w14:textId="76C2CDF7" w:rsidR="004841F5" w:rsidRPr="0063474C" w:rsidRDefault="003E4164" w:rsidP="009A364F">
      <w:pPr>
        <w:jc w:val="both"/>
      </w:pPr>
      <w:r w:rsidRPr="003E4164">
        <w:t>We have done so through various work-life harmony strategies. This includes encouraging the adoption and utilisation of flexible work arrangements and progressively strengthening parental and caregiver leave benefits to ensure they continue to meet the needs of our society.</w:t>
      </w:r>
      <w:r>
        <w:t xml:space="preserve"> </w:t>
      </w:r>
    </w:p>
    <w:p w14:paraId="0442AFC2" w14:textId="4BE58469" w:rsidR="00820648" w:rsidRPr="00820648" w:rsidRDefault="00820648" w:rsidP="0045392A">
      <w:pPr>
        <w:pStyle w:val="ListParagraph"/>
        <w:numPr>
          <w:ilvl w:val="0"/>
          <w:numId w:val="44"/>
        </w:numPr>
        <w:rPr>
          <w:b/>
          <w:bCs/>
        </w:rPr>
      </w:pPr>
      <w:r w:rsidRPr="00820648">
        <w:rPr>
          <w:b/>
          <w:bCs/>
        </w:rPr>
        <w:t xml:space="preserve">Supporting caregivers </w:t>
      </w:r>
    </w:p>
    <w:p w14:paraId="13F9FC6C" w14:textId="28A00BAD" w:rsidR="00D113AE" w:rsidRPr="003E4F64" w:rsidRDefault="00D113AE" w:rsidP="00703E60">
      <w:pPr>
        <w:jc w:val="both"/>
      </w:pPr>
      <w:r w:rsidRPr="003E4F64">
        <w:t>The 2022 survey on Quality of Life</w:t>
      </w:r>
      <w:r w:rsidRPr="003E4F64">
        <w:rPr>
          <w:b/>
        </w:rPr>
        <w:t xml:space="preserve"> </w:t>
      </w:r>
      <w:r w:rsidRPr="003E4F64">
        <w:t>(QOL) in Singapore by the National Council of Social Service found that:</w:t>
      </w:r>
    </w:p>
    <w:p w14:paraId="78557BD2" w14:textId="77777777" w:rsidR="00D113AE" w:rsidRPr="003E4F64" w:rsidRDefault="00D113AE" w:rsidP="00703E60">
      <w:pPr>
        <w:numPr>
          <w:ilvl w:val="0"/>
          <w:numId w:val="9"/>
        </w:numPr>
        <w:jc w:val="both"/>
        <w:rPr>
          <w:b/>
        </w:rPr>
      </w:pPr>
      <w:r w:rsidRPr="003E4F64">
        <w:rPr>
          <w:bCs/>
        </w:rPr>
        <w:t>About 40% of caregivers are male, while the majority of caregivers are women (60%).</w:t>
      </w:r>
    </w:p>
    <w:p w14:paraId="027C1729" w14:textId="77777777" w:rsidR="00D113AE" w:rsidRPr="003E4F64" w:rsidRDefault="00D113AE" w:rsidP="00703E60">
      <w:pPr>
        <w:numPr>
          <w:ilvl w:val="0"/>
          <w:numId w:val="9"/>
        </w:numPr>
        <w:jc w:val="both"/>
        <w:rPr>
          <w:bCs/>
        </w:rPr>
      </w:pPr>
      <w:r w:rsidRPr="003E4F64">
        <w:rPr>
          <w:bCs/>
        </w:rPr>
        <w:t>Caregivers reported a slightly lower overall quality of life compared to non-caregivers.</w:t>
      </w:r>
    </w:p>
    <w:p w14:paraId="62500C64" w14:textId="6C5F66A2" w:rsidR="00D113AE" w:rsidRPr="00555A79" w:rsidRDefault="00D113AE" w:rsidP="00703E60">
      <w:pPr>
        <w:numPr>
          <w:ilvl w:val="0"/>
          <w:numId w:val="9"/>
        </w:numPr>
        <w:jc w:val="both"/>
        <w:rPr>
          <w:b/>
        </w:rPr>
      </w:pPr>
      <w:r w:rsidRPr="003E4F64">
        <w:t>However, there were no significant differences in the QOL scores between male and female caregivers. </w:t>
      </w:r>
    </w:p>
    <w:p w14:paraId="1EC82651" w14:textId="648BCD4E" w:rsidR="00D607CF" w:rsidRDefault="00D607CF" w:rsidP="00CE3618">
      <w:pPr>
        <w:jc w:val="both"/>
      </w:pPr>
      <w:r w:rsidRPr="00D607CF">
        <w:lastRenderedPageBreak/>
        <w:t xml:space="preserve">Through the Caregiver Support Action Plan launched in 2019, the Government has rolled out a suite of measures to support caregivers, including respite care services, to ensure caregivers are able to take breaks to care for themselves, and setting up of outreach teams to support caregivers in self-care through health and wellness activities, stress management and future-planning. Caregivers are also linked up with support groups and counselling services where needed. </w:t>
      </w:r>
    </w:p>
    <w:p w14:paraId="6F65FE79" w14:textId="77777777" w:rsidR="00D607CF" w:rsidRDefault="00D607CF" w:rsidP="00CE3618">
      <w:pPr>
        <w:jc w:val="both"/>
      </w:pPr>
      <w:r w:rsidRPr="00D607CF">
        <w:t xml:space="preserve">To better support caregivers, the Agency for Integrated Care (AIC) serves as a one-stop resource to help caregivers access the support they need. It provides tailored and bite-sized online resources and rolled out the Care Services Recommender on the </w:t>
      </w:r>
      <w:proofErr w:type="spellStart"/>
      <w:r w:rsidRPr="00D607CF">
        <w:t>SupportGoWhere</w:t>
      </w:r>
      <w:proofErr w:type="spellEnd"/>
      <w:r w:rsidRPr="00D607CF">
        <w:t xml:space="preserve"> portal. Respite care options for caregivers of seniors were also expanded to include more home-based and ad hoc respite, so that caregivers have time for self-care and can better manage work, family and personal commitments. The Government also worked with AIC to set up caregiver community outreach teams to provide socio-emotional support for vulnerable caregivers with or at risk of developing mental health conditions. </w:t>
      </w:r>
    </w:p>
    <w:p w14:paraId="7BDFD81F" w14:textId="1ED46893" w:rsidR="004F05D1" w:rsidRDefault="00D607CF" w:rsidP="00CE3618">
      <w:pPr>
        <w:jc w:val="both"/>
      </w:pPr>
      <w:r w:rsidRPr="00D607CF">
        <w:t xml:space="preserve">Caregiver Support Networks have also been established to provide platforms for caregivers to engage in activities and leverage the social capital among people with common experiences for socio-emotional support in the community. These build on existing measures to support families in their caregiving duties, such as the Caregivers Training Grant and the </w:t>
      </w:r>
      <w:proofErr w:type="spellStart"/>
      <w:r w:rsidRPr="00D607CF">
        <w:t>Eldercarer</w:t>
      </w:r>
      <w:proofErr w:type="spellEnd"/>
      <w:r w:rsidRPr="00D607CF">
        <w:t xml:space="preserve"> Foreign Domestic Worker Scheme</w:t>
      </w:r>
      <w:r w:rsidR="00D6422C">
        <w:t>.</w:t>
      </w:r>
    </w:p>
    <w:p w14:paraId="408A2534" w14:textId="320A75F0" w:rsidR="006C46D8" w:rsidRPr="00470E38" w:rsidRDefault="00996C88" w:rsidP="0045392A">
      <w:pPr>
        <w:pStyle w:val="ListParagraph"/>
        <w:numPr>
          <w:ilvl w:val="0"/>
          <w:numId w:val="44"/>
        </w:numPr>
        <w:rPr>
          <w:b/>
          <w:bCs/>
        </w:rPr>
      </w:pPr>
      <w:r>
        <w:rPr>
          <w:b/>
          <w:bCs/>
        </w:rPr>
        <w:t>Increased p</w:t>
      </w:r>
      <w:r w:rsidR="00F9280E" w:rsidRPr="00470E38">
        <w:rPr>
          <w:b/>
          <w:bCs/>
        </w:rPr>
        <w:t>arental leave</w:t>
      </w:r>
    </w:p>
    <w:p w14:paraId="29CF1E0A" w14:textId="0FD2A777" w:rsidR="00A17A2F" w:rsidRPr="00A17A2F" w:rsidRDefault="00BC2B87" w:rsidP="0037685B">
      <w:pPr>
        <w:jc w:val="both"/>
      </w:pPr>
      <w:r>
        <w:t>W</w:t>
      </w:r>
      <w:r w:rsidR="00A17A2F" w:rsidRPr="00A17A2F">
        <w:t xml:space="preserve">orking </w:t>
      </w:r>
      <w:r>
        <w:t>mothers and fathers are entitled to</w:t>
      </w:r>
      <w:r w:rsidRPr="00A17A2F">
        <w:t xml:space="preserve"> </w:t>
      </w:r>
      <w:r w:rsidR="00A17A2F" w:rsidRPr="00A17A2F">
        <w:t xml:space="preserve">16 weeks of Government-Paid Maternity Leave and </w:t>
      </w:r>
      <w:r>
        <w:t>two</w:t>
      </w:r>
      <w:r w:rsidR="00A17A2F" w:rsidRPr="00A17A2F">
        <w:t xml:space="preserve"> weeks of Government-Paid Paternity Leave </w:t>
      </w:r>
      <w:r w:rsidR="00E75D1E">
        <w:t>respectively</w:t>
      </w:r>
      <w:r w:rsidR="00A17A2F" w:rsidRPr="00A17A2F">
        <w:t xml:space="preserve">. On top of paternity leave, fathers can tap on up to </w:t>
      </w:r>
      <w:r w:rsidR="0014678A">
        <w:t>four</w:t>
      </w:r>
      <w:r w:rsidR="00A17A2F" w:rsidRPr="00A17A2F">
        <w:t xml:space="preserve"> weeks of Shared Parental Leave to help them in caring for and bonding with their newborn.</w:t>
      </w:r>
    </w:p>
    <w:p w14:paraId="1DE687DF" w14:textId="7F6F2272" w:rsidR="00774648" w:rsidRDefault="00A17A2F" w:rsidP="0037685B">
      <w:pPr>
        <w:jc w:val="both"/>
      </w:pPr>
      <w:r w:rsidRPr="00A17A2F">
        <w:t xml:space="preserve">To further encourage fathers to support their spouses in caring for their newborns and play a bigger role in raising their children, the Government has doubled Government-Paid Paternity Leave from 2 weeks to 4 weeks from </w:t>
      </w:r>
      <w:r w:rsidR="006B3A2D">
        <w:t>January</w:t>
      </w:r>
      <w:r w:rsidRPr="00A17A2F">
        <w:t xml:space="preserve"> 2024 on a voluntary </w:t>
      </w:r>
      <w:r w:rsidR="00906948">
        <w:t>basis</w:t>
      </w:r>
      <w:r w:rsidRPr="00A17A2F">
        <w:t>.</w:t>
      </w:r>
      <w:r w:rsidR="00906948">
        <w:t xml:space="preserve"> </w:t>
      </w:r>
      <w:r w:rsidR="00906948" w:rsidRPr="00906948">
        <w:t>Employers who grant the additional leave will be reimbursed by the Government.</w:t>
      </w:r>
      <w:r w:rsidRPr="00A17A2F">
        <w:t xml:space="preserve"> </w:t>
      </w:r>
      <w:r w:rsidR="00477651" w:rsidRPr="0008626F">
        <w:rPr>
          <w:rStyle w:val="ui-provider"/>
          <w:rFonts w:ascii="Calibri" w:hAnsi="Calibri"/>
        </w:rPr>
        <w:t>Government-Paid Paternity Leave was introduced in 2013, and in recent years, take-up rates have increased from 47% in 2016 to 53% in 2021. This reflects that more fathers are playing an active role in raising their children, which can help more mothers to stay active in the workforce.</w:t>
      </w:r>
    </w:p>
    <w:p w14:paraId="3765BA63" w14:textId="0A61091D" w:rsidR="00774648" w:rsidRPr="00774648" w:rsidRDefault="00E271D1" w:rsidP="0037685B">
      <w:pPr>
        <w:jc w:val="both"/>
        <w:rPr>
          <w:bCs/>
        </w:rPr>
      </w:pPr>
      <w:r>
        <w:t>Each working parent can</w:t>
      </w:r>
      <w:r w:rsidR="00774648" w:rsidRPr="00774648">
        <w:t xml:space="preserve"> </w:t>
      </w:r>
      <w:r w:rsidR="00677391">
        <w:t xml:space="preserve">also tap on </w:t>
      </w:r>
      <w:r w:rsidR="00D01BB3">
        <w:t>six days of</w:t>
      </w:r>
      <w:r w:rsidR="00774648" w:rsidRPr="00774648">
        <w:t xml:space="preserve"> </w:t>
      </w:r>
      <w:r w:rsidR="00D01BB3">
        <w:t>C</w:t>
      </w:r>
      <w:r w:rsidR="00774648" w:rsidRPr="00774648">
        <w:t xml:space="preserve">hildcare </w:t>
      </w:r>
      <w:r w:rsidR="00D01BB3">
        <w:t>L</w:t>
      </w:r>
      <w:r w:rsidR="00774648" w:rsidRPr="00774648">
        <w:t xml:space="preserve">eave </w:t>
      </w:r>
      <w:r w:rsidR="00CB4084">
        <w:t>per year if their youngest child is below seven years, and two days of Extended Childcare Leave per year if their youngest child is aged between seven and 12 years. In addition, they also entitled to</w:t>
      </w:r>
      <w:r w:rsidR="00774648" w:rsidRPr="00774648">
        <w:t xml:space="preserve"> Unpaid Infant Care Leave, which has been increased from 6 days to 12 days per year from January 2024, to help them care for their child in the first </w:t>
      </w:r>
      <w:r w:rsidR="00566B37">
        <w:t>two</w:t>
      </w:r>
      <w:r w:rsidR="00774648" w:rsidRPr="00774648">
        <w:t xml:space="preserve"> years.</w:t>
      </w:r>
      <w:r w:rsidR="00861848">
        <w:t xml:space="preserve"> </w:t>
      </w:r>
    </w:p>
    <w:p w14:paraId="6823F50C" w14:textId="3ADCEDE4" w:rsidR="000243BB" w:rsidRDefault="0071175B" w:rsidP="0037685B">
      <w:pPr>
        <w:jc w:val="both"/>
      </w:pPr>
      <w:r>
        <w:t xml:space="preserve">Taken together, these enhancements </w:t>
      </w:r>
      <w:r w:rsidR="00F859B6">
        <w:t>increased</w:t>
      </w:r>
      <w:r>
        <w:t xml:space="preserve"> parental leave for a working couple from 22 weeks to up to 26 weeks in their child’s first year.</w:t>
      </w:r>
    </w:p>
    <w:p w14:paraId="11CAD38C" w14:textId="52C96E03" w:rsidR="006C46D8" w:rsidRPr="00820648" w:rsidRDefault="0063474C" w:rsidP="0045392A">
      <w:pPr>
        <w:pStyle w:val="ListParagraph"/>
        <w:numPr>
          <w:ilvl w:val="0"/>
          <w:numId w:val="44"/>
        </w:numPr>
        <w:jc w:val="both"/>
        <w:rPr>
          <w:b/>
          <w:bCs/>
        </w:rPr>
      </w:pPr>
      <w:r>
        <w:rPr>
          <w:b/>
          <w:bCs/>
        </w:rPr>
        <w:t>Enhanced c</w:t>
      </w:r>
      <w:r w:rsidR="006C46D8" w:rsidRPr="00820648">
        <w:rPr>
          <w:b/>
          <w:bCs/>
        </w:rPr>
        <w:t>hildcare services</w:t>
      </w:r>
    </w:p>
    <w:p w14:paraId="67D75873" w14:textId="26CD05D1" w:rsidR="00F96482" w:rsidRPr="002E7067" w:rsidRDefault="004C24A6" w:rsidP="00703E60">
      <w:pPr>
        <w:jc w:val="both"/>
        <w:rPr>
          <w:rFonts w:cs="Times New Roman"/>
          <w:lang w:eastAsia="zh-CN"/>
        </w:rPr>
      </w:pPr>
      <w:r w:rsidRPr="004C24A6">
        <w:t xml:space="preserve">Over two years, beginning in 2022, the Early Childhood Development Agency </w:t>
      </w:r>
      <w:r>
        <w:t xml:space="preserve">(ECDA) </w:t>
      </w:r>
      <w:r w:rsidRPr="004C24A6">
        <w:t>is working to provide an additional 22,000 full-day preschool places. This is part of the larger goal to grow the number of Government-supported preschool places so that 80% of preschoolers can have a place in a Government-supported preschool by around 2025, up from over 65% in 2023</w:t>
      </w:r>
      <w:r w:rsidR="00F96482">
        <w:t xml:space="preserve"> (Table 4)</w:t>
      </w:r>
      <w:r w:rsidR="001064B2">
        <w:t>.</w:t>
      </w:r>
    </w:p>
    <w:p w14:paraId="21B027FB" w14:textId="13F4F39A" w:rsidR="00815807" w:rsidRDefault="00E227C1" w:rsidP="00815807">
      <w:pPr>
        <w:spacing w:after="0" w:line="240" w:lineRule="auto"/>
        <w:rPr>
          <w:rFonts w:cs="Times New Roman"/>
          <w:b/>
          <w:bCs/>
          <w:u w:val="single"/>
          <w:lang w:eastAsia="zh-CN"/>
        </w:rPr>
      </w:pPr>
      <w:r>
        <w:rPr>
          <w:b/>
          <w:u w:val="single"/>
        </w:rPr>
        <w:t xml:space="preserve">Table 4: </w:t>
      </w:r>
      <w:r w:rsidR="00815807" w:rsidRPr="00A640EA">
        <w:rPr>
          <w:b/>
          <w:u w:val="single"/>
        </w:rPr>
        <w:t xml:space="preserve">Number of </w:t>
      </w:r>
      <w:r w:rsidR="000243BB">
        <w:rPr>
          <w:b/>
          <w:u w:val="single"/>
        </w:rPr>
        <w:t>F</w:t>
      </w:r>
      <w:r w:rsidR="00815807" w:rsidRPr="00A640EA">
        <w:rPr>
          <w:b/>
          <w:u w:val="single"/>
        </w:rPr>
        <w:t>ull-</w:t>
      </w:r>
      <w:r w:rsidR="000243BB">
        <w:rPr>
          <w:b/>
          <w:u w:val="single"/>
        </w:rPr>
        <w:t>D</w:t>
      </w:r>
      <w:r w:rsidR="00815807" w:rsidRPr="00A640EA">
        <w:rPr>
          <w:b/>
          <w:u w:val="single"/>
        </w:rPr>
        <w:t xml:space="preserve">ay </w:t>
      </w:r>
      <w:r w:rsidR="000243BB">
        <w:rPr>
          <w:b/>
          <w:u w:val="single"/>
        </w:rPr>
        <w:t>P</w:t>
      </w:r>
      <w:r w:rsidR="00815807" w:rsidRPr="00A640EA">
        <w:rPr>
          <w:b/>
          <w:u w:val="single"/>
        </w:rPr>
        <w:t xml:space="preserve">reschool </w:t>
      </w:r>
      <w:r w:rsidR="000243BB">
        <w:rPr>
          <w:b/>
          <w:u w:val="single"/>
        </w:rPr>
        <w:t>P</w:t>
      </w:r>
      <w:r w:rsidR="00815807" w:rsidRPr="00A640EA">
        <w:rPr>
          <w:b/>
          <w:u w:val="single"/>
        </w:rPr>
        <w:t>laces (</w:t>
      </w:r>
      <w:r w:rsidR="000243BB">
        <w:rPr>
          <w:b/>
          <w:u w:val="single"/>
        </w:rPr>
        <w:t>I</w:t>
      </w:r>
      <w:r w:rsidR="00815807" w:rsidRPr="00A640EA">
        <w:rPr>
          <w:b/>
          <w:u w:val="single"/>
        </w:rPr>
        <w:t xml:space="preserve">nfant </w:t>
      </w:r>
      <w:r w:rsidR="000243BB">
        <w:rPr>
          <w:b/>
          <w:u w:val="single"/>
        </w:rPr>
        <w:t>C</w:t>
      </w:r>
      <w:r w:rsidR="00815807" w:rsidRPr="00A640EA">
        <w:rPr>
          <w:b/>
          <w:u w:val="single"/>
        </w:rPr>
        <w:t xml:space="preserve">are and </w:t>
      </w:r>
      <w:r w:rsidR="000243BB">
        <w:rPr>
          <w:b/>
          <w:u w:val="single"/>
        </w:rPr>
        <w:t>C</w:t>
      </w:r>
      <w:r w:rsidR="00815807" w:rsidRPr="00A640EA">
        <w:rPr>
          <w:b/>
          <w:u w:val="single"/>
        </w:rPr>
        <w:t xml:space="preserve">hildcare </w:t>
      </w:r>
      <w:r w:rsidR="000243BB">
        <w:rPr>
          <w:b/>
          <w:u w:val="single"/>
        </w:rPr>
        <w:t>P</w:t>
      </w:r>
      <w:r w:rsidR="00815807" w:rsidRPr="00A640EA">
        <w:rPr>
          <w:b/>
          <w:u w:val="single"/>
        </w:rPr>
        <w:t xml:space="preserve">laces) </w:t>
      </w:r>
    </w:p>
    <w:p w14:paraId="6A1558D8" w14:textId="77777777" w:rsidR="00815807" w:rsidRPr="00A640EA" w:rsidRDefault="00815807" w:rsidP="00A640EA">
      <w:pPr>
        <w:spacing w:after="0" w:line="240" w:lineRule="auto"/>
        <w:rPr>
          <w:rFonts w:cs="Times New Roman"/>
          <w:b/>
          <w:u w:val="single"/>
          <w:lang w:eastAsia="zh-CN"/>
        </w:rPr>
      </w:pPr>
    </w:p>
    <w:tbl>
      <w:tblPr>
        <w:tblStyle w:val="TableGrid"/>
        <w:tblW w:w="4485" w:type="pct"/>
        <w:tblInd w:w="0" w:type="dxa"/>
        <w:tblLook w:val="04A0" w:firstRow="1" w:lastRow="0" w:firstColumn="1" w:lastColumn="0" w:noHBand="0" w:noVBand="1"/>
      </w:tblPr>
      <w:tblGrid>
        <w:gridCol w:w="3685"/>
        <w:gridCol w:w="940"/>
        <w:gridCol w:w="940"/>
        <w:gridCol w:w="941"/>
        <w:gridCol w:w="941"/>
        <w:gridCol w:w="940"/>
      </w:tblGrid>
      <w:tr w:rsidR="00815807" w14:paraId="0A64F4A3" w14:textId="77777777" w:rsidTr="00F2771F">
        <w:tc>
          <w:tcPr>
            <w:tcW w:w="2197" w:type="pct"/>
            <w:tcBorders>
              <w:top w:val="single" w:sz="4" w:space="0" w:color="auto"/>
              <w:left w:val="single" w:sz="4" w:space="0" w:color="auto"/>
              <w:bottom w:val="single" w:sz="4" w:space="0" w:color="auto"/>
              <w:right w:val="single" w:sz="4" w:space="0" w:color="auto"/>
            </w:tcBorders>
            <w:shd w:val="clear" w:color="auto" w:fill="E7E6E6"/>
          </w:tcPr>
          <w:p w14:paraId="49B42B6A" w14:textId="77777777" w:rsidR="00F2771F" w:rsidRDefault="00F2771F">
            <w:pPr>
              <w:jc w:val="center"/>
              <w:rPr>
                <w:b/>
                <w:bCs/>
              </w:rPr>
            </w:pPr>
          </w:p>
        </w:tc>
        <w:tc>
          <w:tcPr>
            <w:tcW w:w="56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AE22833" w14:textId="33908111" w:rsidR="00815807" w:rsidRDefault="00815807">
            <w:pPr>
              <w:jc w:val="center"/>
              <w:rPr>
                <w:b/>
                <w:bCs/>
              </w:rPr>
            </w:pPr>
            <w:r>
              <w:rPr>
                <w:b/>
                <w:bCs/>
              </w:rPr>
              <w:t>2019</w:t>
            </w:r>
          </w:p>
        </w:tc>
        <w:tc>
          <w:tcPr>
            <w:tcW w:w="56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12CE9BE" w14:textId="77777777" w:rsidR="00815807" w:rsidRDefault="00815807">
            <w:pPr>
              <w:jc w:val="center"/>
              <w:rPr>
                <w:b/>
                <w:bCs/>
              </w:rPr>
            </w:pPr>
            <w:r>
              <w:rPr>
                <w:b/>
                <w:bCs/>
              </w:rPr>
              <w:t>2020</w:t>
            </w:r>
          </w:p>
        </w:tc>
        <w:tc>
          <w:tcPr>
            <w:tcW w:w="5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3100739" w14:textId="77777777" w:rsidR="00815807" w:rsidRDefault="00815807">
            <w:pPr>
              <w:jc w:val="center"/>
              <w:rPr>
                <w:b/>
                <w:bCs/>
              </w:rPr>
            </w:pPr>
            <w:r>
              <w:rPr>
                <w:b/>
                <w:bCs/>
              </w:rPr>
              <w:t>2021</w:t>
            </w:r>
          </w:p>
        </w:tc>
        <w:tc>
          <w:tcPr>
            <w:tcW w:w="5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8F1F071" w14:textId="77777777" w:rsidR="00815807" w:rsidRDefault="00815807">
            <w:pPr>
              <w:jc w:val="center"/>
              <w:rPr>
                <w:b/>
                <w:bCs/>
              </w:rPr>
            </w:pPr>
            <w:r>
              <w:rPr>
                <w:b/>
                <w:bCs/>
              </w:rPr>
              <w:t>2022</w:t>
            </w:r>
          </w:p>
        </w:tc>
        <w:tc>
          <w:tcPr>
            <w:tcW w:w="56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74A21DFA" w14:textId="77777777" w:rsidR="00815807" w:rsidRDefault="00815807">
            <w:pPr>
              <w:jc w:val="center"/>
              <w:rPr>
                <w:b/>
                <w:bCs/>
              </w:rPr>
            </w:pPr>
            <w:r>
              <w:rPr>
                <w:b/>
                <w:bCs/>
              </w:rPr>
              <w:t>2023</w:t>
            </w:r>
          </w:p>
        </w:tc>
      </w:tr>
      <w:tr w:rsidR="00815807" w14:paraId="3EE71443" w14:textId="77777777" w:rsidTr="00F2771F">
        <w:trPr>
          <w:trHeight w:val="323"/>
        </w:trPr>
        <w:tc>
          <w:tcPr>
            <w:tcW w:w="2197" w:type="pct"/>
            <w:tcBorders>
              <w:top w:val="single" w:sz="4" w:space="0" w:color="auto"/>
              <w:left w:val="single" w:sz="4" w:space="0" w:color="auto"/>
              <w:bottom w:val="single" w:sz="4" w:space="0" w:color="auto"/>
              <w:right w:val="single" w:sz="4" w:space="0" w:color="auto"/>
            </w:tcBorders>
          </w:tcPr>
          <w:p w14:paraId="6E0C9FBA" w14:textId="23C53957" w:rsidR="00F2771F" w:rsidRDefault="00F2771F">
            <w:pPr>
              <w:jc w:val="center"/>
            </w:pPr>
            <w:r>
              <w:t xml:space="preserve">Number of full-day preschool places </w:t>
            </w:r>
          </w:p>
        </w:tc>
        <w:tc>
          <w:tcPr>
            <w:tcW w:w="560" w:type="pct"/>
            <w:tcBorders>
              <w:top w:val="single" w:sz="4" w:space="0" w:color="auto"/>
              <w:left w:val="single" w:sz="4" w:space="0" w:color="auto"/>
              <w:bottom w:val="single" w:sz="4" w:space="0" w:color="auto"/>
              <w:right w:val="single" w:sz="4" w:space="0" w:color="auto"/>
            </w:tcBorders>
            <w:vAlign w:val="center"/>
            <w:hideMark/>
          </w:tcPr>
          <w:p w14:paraId="5E09CB95" w14:textId="7872FACE" w:rsidR="00815807" w:rsidRDefault="00815807">
            <w:pPr>
              <w:jc w:val="center"/>
            </w:pPr>
            <w:r>
              <w:t>175,930</w:t>
            </w:r>
          </w:p>
        </w:tc>
        <w:tc>
          <w:tcPr>
            <w:tcW w:w="560" w:type="pct"/>
            <w:tcBorders>
              <w:top w:val="single" w:sz="4" w:space="0" w:color="auto"/>
              <w:left w:val="single" w:sz="4" w:space="0" w:color="auto"/>
              <w:bottom w:val="single" w:sz="4" w:space="0" w:color="auto"/>
              <w:right w:val="single" w:sz="4" w:space="0" w:color="auto"/>
            </w:tcBorders>
            <w:vAlign w:val="center"/>
            <w:hideMark/>
          </w:tcPr>
          <w:p w14:paraId="38D40013" w14:textId="77777777" w:rsidR="00815807" w:rsidRDefault="00815807">
            <w:pPr>
              <w:jc w:val="center"/>
            </w:pPr>
            <w:r>
              <w:t>181,386</w:t>
            </w:r>
          </w:p>
        </w:tc>
        <w:tc>
          <w:tcPr>
            <w:tcW w:w="561" w:type="pct"/>
            <w:tcBorders>
              <w:top w:val="single" w:sz="4" w:space="0" w:color="auto"/>
              <w:left w:val="single" w:sz="4" w:space="0" w:color="auto"/>
              <w:bottom w:val="single" w:sz="4" w:space="0" w:color="auto"/>
              <w:right w:val="single" w:sz="4" w:space="0" w:color="auto"/>
            </w:tcBorders>
            <w:vAlign w:val="center"/>
            <w:hideMark/>
          </w:tcPr>
          <w:p w14:paraId="3813B6CA" w14:textId="77777777" w:rsidR="00815807" w:rsidRDefault="00815807">
            <w:pPr>
              <w:jc w:val="center"/>
            </w:pPr>
            <w:r>
              <w:t>190,491</w:t>
            </w:r>
          </w:p>
        </w:tc>
        <w:tc>
          <w:tcPr>
            <w:tcW w:w="561" w:type="pct"/>
            <w:tcBorders>
              <w:top w:val="single" w:sz="4" w:space="0" w:color="auto"/>
              <w:left w:val="single" w:sz="4" w:space="0" w:color="auto"/>
              <w:bottom w:val="single" w:sz="4" w:space="0" w:color="auto"/>
              <w:right w:val="single" w:sz="4" w:space="0" w:color="auto"/>
            </w:tcBorders>
            <w:vAlign w:val="center"/>
            <w:hideMark/>
          </w:tcPr>
          <w:p w14:paraId="67582DB6" w14:textId="77777777" w:rsidR="00815807" w:rsidRDefault="00815807">
            <w:pPr>
              <w:jc w:val="center"/>
            </w:pPr>
            <w:r>
              <w:t>197,097</w:t>
            </w:r>
          </w:p>
        </w:tc>
        <w:tc>
          <w:tcPr>
            <w:tcW w:w="560" w:type="pct"/>
            <w:tcBorders>
              <w:top w:val="single" w:sz="4" w:space="0" w:color="auto"/>
              <w:left w:val="single" w:sz="4" w:space="0" w:color="auto"/>
              <w:bottom w:val="single" w:sz="4" w:space="0" w:color="auto"/>
              <w:right w:val="single" w:sz="4" w:space="0" w:color="auto"/>
            </w:tcBorders>
            <w:vAlign w:val="center"/>
            <w:hideMark/>
          </w:tcPr>
          <w:p w14:paraId="3CDE8026" w14:textId="77777777" w:rsidR="00815807" w:rsidRDefault="00815807">
            <w:pPr>
              <w:jc w:val="center"/>
            </w:pPr>
            <w:r>
              <w:t>209,552</w:t>
            </w:r>
          </w:p>
        </w:tc>
      </w:tr>
    </w:tbl>
    <w:p w14:paraId="4CA8FD5D" w14:textId="1EBB371C" w:rsidR="00815807" w:rsidRPr="00A640EA" w:rsidRDefault="00815807" w:rsidP="00061E9C">
      <w:pPr>
        <w:rPr>
          <w:sz w:val="20"/>
          <w:szCs w:val="20"/>
        </w:rPr>
      </w:pPr>
      <w:r w:rsidRPr="00A640EA">
        <w:rPr>
          <w:sz w:val="20"/>
          <w:szCs w:val="20"/>
        </w:rPr>
        <w:t xml:space="preserve">Source: Ministry of Social and Family Development </w:t>
      </w:r>
    </w:p>
    <w:p w14:paraId="6920C078" w14:textId="4662AE20" w:rsidR="004C24A6" w:rsidRDefault="004C24A6" w:rsidP="0037685B">
      <w:pPr>
        <w:jc w:val="both"/>
      </w:pPr>
      <w:r w:rsidRPr="004C24A6">
        <w:t>ECDA will also launch a</w:t>
      </w:r>
      <w:r w:rsidR="00AD47C2">
        <w:t xml:space="preserve">n </w:t>
      </w:r>
      <w:r w:rsidRPr="004C24A6">
        <w:t xml:space="preserve">infant childminding pilot in the second half of 2024 to grow affordable, safe and reliable childminding services as an alternative infant care option for parents. </w:t>
      </w:r>
      <w:r w:rsidR="00AD47C2" w:rsidRPr="00AD47C2">
        <w:t xml:space="preserve">The pilot aims to serve 500 infants in the first year. Parents using full-day childminding services under the pilot can expect to pay around </w:t>
      </w:r>
      <w:r w:rsidR="009E3DB5">
        <w:t>SGD</w:t>
      </w:r>
      <w:r w:rsidR="00AD47C2" w:rsidRPr="00AD47C2">
        <w:t xml:space="preserve"> $700 per month, which is similar to what a median-income family pays for full-day infant care at Government-supported centres after Basic and Additional subsidies.</w:t>
      </w:r>
    </w:p>
    <w:p w14:paraId="595B5389" w14:textId="74542E48" w:rsidR="00B8041D" w:rsidRPr="00820648" w:rsidRDefault="003C1AD0" w:rsidP="0045392A">
      <w:pPr>
        <w:pStyle w:val="ListParagraph"/>
        <w:numPr>
          <w:ilvl w:val="0"/>
          <w:numId w:val="44"/>
        </w:numPr>
        <w:rPr>
          <w:b/>
          <w:bCs/>
        </w:rPr>
      </w:pPr>
      <w:r w:rsidRPr="00820648">
        <w:rPr>
          <w:b/>
          <w:bCs/>
        </w:rPr>
        <w:t>Increased e</w:t>
      </w:r>
      <w:r w:rsidR="00B8041D" w:rsidRPr="00820648">
        <w:rPr>
          <w:b/>
          <w:bCs/>
        </w:rPr>
        <w:t>ldercare services</w:t>
      </w:r>
    </w:p>
    <w:p w14:paraId="7C120C1B" w14:textId="0C380559" w:rsidR="00A64A15" w:rsidRPr="00A64A15" w:rsidRDefault="00A64A15" w:rsidP="0037685B">
      <w:pPr>
        <w:jc w:val="both"/>
      </w:pPr>
      <w:r>
        <w:t>The Ministry of Health (MOH)</w:t>
      </w:r>
      <w:r w:rsidRPr="00A64A15">
        <w:t xml:space="preserve"> has been growing the capacity of community care services, such as home, day and residential care services, to better serve the care needs of our seniors and their caregivers. Since 2015, we added 5,200 day care places, so that seniors can access day care services near their home, as well as 5,400 home care places for home-bound seniors. We have also added 5,800 nursing home beds to cater to frail seniors with less family support. As at end-2022, we have 8,700 day care places, 12,300 home care places and 18,100 nursing home beds. </w:t>
      </w:r>
    </w:p>
    <w:p w14:paraId="2FD53B62" w14:textId="22706FE7" w:rsidR="00F267B7" w:rsidRDefault="00A64A15" w:rsidP="0037685B">
      <w:pPr>
        <w:jc w:val="both"/>
      </w:pPr>
      <w:r w:rsidRPr="00A64A15">
        <w:t xml:space="preserve">We have enhanced support schemes that help to reduce caregivers’ financial strain, such as increasing the quantum of the Home Caregiving Grant </w:t>
      </w:r>
      <w:r w:rsidR="002F5F66">
        <w:t xml:space="preserve">(HCG) </w:t>
      </w:r>
      <w:r w:rsidRPr="00A64A15">
        <w:t>to defray caregiving costs for eligible persons with at least permanent moderate disability in the community.</w:t>
      </w:r>
      <w:r w:rsidR="002F5F66">
        <w:t xml:space="preserve"> </w:t>
      </w:r>
      <w:r w:rsidR="003767C2" w:rsidRPr="00F43AD1">
        <w:t xml:space="preserve">In 2023, the HCG was enhanced from </w:t>
      </w:r>
      <w:r w:rsidR="009E3DB5">
        <w:t xml:space="preserve">SGD </w:t>
      </w:r>
      <w:r w:rsidR="003767C2" w:rsidRPr="00F43AD1">
        <w:t xml:space="preserve">$200 per month to up to </w:t>
      </w:r>
      <w:r w:rsidR="009E3DB5">
        <w:t xml:space="preserve">SGD </w:t>
      </w:r>
      <w:r w:rsidR="003767C2" w:rsidRPr="00F43AD1">
        <w:t xml:space="preserve">$400 per month to defray caregiving costs, with more help provided to eligible lower-income households. The number of HCG beneficiaries has increased since scheme inception in 2019, with </w:t>
      </w:r>
      <w:r w:rsidR="00C04A47">
        <w:t>about</w:t>
      </w:r>
      <w:r w:rsidR="003767C2" w:rsidRPr="00F43AD1">
        <w:t xml:space="preserve"> 44,000 beneficiaries receiving the HCG in 2023</w:t>
      </w:r>
      <w:r w:rsidR="00F96482">
        <w:t xml:space="preserve"> (Table 5)</w:t>
      </w:r>
      <w:r w:rsidR="003767C2">
        <w:t>.</w:t>
      </w:r>
    </w:p>
    <w:p w14:paraId="4410FF1F" w14:textId="6AA29833" w:rsidR="00E227C1" w:rsidRPr="00A64A15" w:rsidRDefault="00E227C1" w:rsidP="0037685B">
      <w:pPr>
        <w:jc w:val="both"/>
      </w:pPr>
      <w:r>
        <w:rPr>
          <w:b/>
          <w:bCs/>
          <w:u w:val="single"/>
        </w:rPr>
        <w:t xml:space="preserve">Table 5: Number of </w:t>
      </w:r>
      <w:r w:rsidR="000243BB">
        <w:rPr>
          <w:b/>
          <w:bCs/>
          <w:u w:val="single"/>
        </w:rPr>
        <w:t>U</w:t>
      </w:r>
      <w:r>
        <w:rPr>
          <w:b/>
          <w:bCs/>
          <w:u w:val="single"/>
        </w:rPr>
        <w:t xml:space="preserve">nique HCG Grant </w:t>
      </w:r>
      <w:r w:rsidR="000243BB">
        <w:rPr>
          <w:b/>
          <w:bCs/>
          <w:u w:val="single"/>
        </w:rPr>
        <w:t>B</w:t>
      </w:r>
      <w:r>
        <w:rPr>
          <w:b/>
          <w:bCs/>
          <w:u w:val="single"/>
        </w:rPr>
        <w:t>eneficiaries</w:t>
      </w:r>
    </w:p>
    <w:tbl>
      <w:tblPr>
        <w:tblStyle w:val="TableGrid"/>
        <w:tblW w:w="0" w:type="auto"/>
        <w:tblInd w:w="0" w:type="dxa"/>
        <w:tblLook w:val="04A0" w:firstRow="1" w:lastRow="0" w:firstColumn="1" w:lastColumn="0" w:noHBand="0" w:noVBand="1"/>
      </w:tblPr>
      <w:tblGrid>
        <w:gridCol w:w="2425"/>
        <w:gridCol w:w="990"/>
        <w:gridCol w:w="1259"/>
        <w:gridCol w:w="1081"/>
        <w:gridCol w:w="1080"/>
        <w:gridCol w:w="990"/>
      </w:tblGrid>
      <w:tr w:rsidR="00137F57" w14:paraId="35153D32" w14:textId="77777777" w:rsidTr="00E2659B">
        <w:tc>
          <w:tcPr>
            <w:tcW w:w="2425" w:type="dxa"/>
            <w:shd w:val="clear" w:color="auto" w:fill="E7E6E6" w:themeFill="background2"/>
          </w:tcPr>
          <w:p w14:paraId="337436E3" w14:textId="77777777" w:rsidR="00137F57" w:rsidRDefault="00137F57" w:rsidP="0037685B">
            <w:pPr>
              <w:jc w:val="both"/>
            </w:pPr>
          </w:p>
        </w:tc>
        <w:tc>
          <w:tcPr>
            <w:tcW w:w="990" w:type="dxa"/>
            <w:shd w:val="clear" w:color="auto" w:fill="E7E6E6" w:themeFill="background2"/>
          </w:tcPr>
          <w:p w14:paraId="0C6A76D6" w14:textId="15018770" w:rsidR="00137F57" w:rsidRPr="00A640EA" w:rsidRDefault="00137F57" w:rsidP="0037685B">
            <w:pPr>
              <w:jc w:val="both"/>
              <w:rPr>
                <w:b/>
              </w:rPr>
            </w:pPr>
            <w:r w:rsidRPr="00A640EA">
              <w:rPr>
                <w:b/>
              </w:rPr>
              <w:t>2019</w:t>
            </w:r>
          </w:p>
        </w:tc>
        <w:tc>
          <w:tcPr>
            <w:tcW w:w="1259" w:type="dxa"/>
            <w:shd w:val="clear" w:color="auto" w:fill="E7E6E6" w:themeFill="background2"/>
          </w:tcPr>
          <w:p w14:paraId="6B5DB772" w14:textId="7C1C259F" w:rsidR="00137F57" w:rsidRPr="00A640EA" w:rsidRDefault="00137F57" w:rsidP="0037685B">
            <w:pPr>
              <w:jc w:val="both"/>
              <w:rPr>
                <w:b/>
              </w:rPr>
            </w:pPr>
            <w:r w:rsidRPr="00A640EA">
              <w:rPr>
                <w:b/>
              </w:rPr>
              <w:t>2020</w:t>
            </w:r>
          </w:p>
        </w:tc>
        <w:tc>
          <w:tcPr>
            <w:tcW w:w="1081" w:type="dxa"/>
            <w:shd w:val="clear" w:color="auto" w:fill="E7E6E6" w:themeFill="background2"/>
          </w:tcPr>
          <w:p w14:paraId="05538A1A" w14:textId="212448DC" w:rsidR="00137F57" w:rsidRPr="00A640EA" w:rsidRDefault="00137F57" w:rsidP="0037685B">
            <w:pPr>
              <w:jc w:val="both"/>
              <w:rPr>
                <w:b/>
              </w:rPr>
            </w:pPr>
            <w:r w:rsidRPr="00A640EA">
              <w:rPr>
                <w:b/>
              </w:rPr>
              <w:t>2021</w:t>
            </w:r>
          </w:p>
        </w:tc>
        <w:tc>
          <w:tcPr>
            <w:tcW w:w="1080" w:type="dxa"/>
            <w:shd w:val="clear" w:color="auto" w:fill="E7E6E6" w:themeFill="background2"/>
          </w:tcPr>
          <w:p w14:paraId="70E5BA52" w14:textId="62F29EF4" w:rsidR="00137F57" w:rsidRPr="00A640EA" w:rsidRDefault="00137F57" w:rsidP="0037685B">
            <w:pPr>
              <w:jc w:val="both"/>
              <w:rPr>
                <w:b/>
              </w:rPr>
            </w:pPr>
            <w:r w:rsidRPr="00A640EA">
              <w:rPr>
                <w:b/>
              </w:rPr>
              <w:t>2022</w:t>
            </w:r>
          </w:p>
        </w:tc>
        <w:tc>
          <w:tcPr>
            <w:tcW w:w="990" w:type="dxa"/>
            <w:shd w:val="clear" w:color="auto" w:fill="E7E6E6" w:themeFill="background2"/>
          </w:tcPr>
          <w:p w14:paraId="3829C271" w14:textId="73B7DC28" w:rsidR="00137F57" w:rsidRPr="00A640EA" w:rsidRDefault="00137F57" w:rsidP="0037685B">
            <w:pPr>
              <w:jc w:val="both"/>
              <w:rPr>
                <w:b/>
              </w:rPr>
            </w:pPr>
            <w:r w:rsidRPr="00A640EA">
              <w:rPr>
                <w:b/>
              </w:rPr>
              <w:t>2023</w:t>
            </w:r>
          </w:p>
        </w:tc>
      </w:tr>
      <w:tr w:rsidR="00137F57" w14:paraId="71ABB006" w14:textId="77777777" w:rsidTr="00A640EA">
        <w:tc>
          <w:tcPr>
            <w:tcW w:w="2425" w:type="dxa"/>
          </w:tcPr>
          <w:p w14:paraId="0AD98055" w14:textId="6569D6AB" w:rsidR="00137F57" w:rsidRPr="00A640EA" w:rsidRDefault="00137F57" w:rsidP="0037685B">
            <w:pPr>
              <w:jc w:val="both"/>
              <w:rPr>
                <w:b/>
              </w:rPr>
            </w:pPr>
            <w:r w:rsidRPr="00A640EA">
              <w:rPr>
                <w:b/>
              </w:rPr>
              <w:t xml:space="preserve">Number of Unique HCG Grant </w:t>
            </w:r>
            <w:r w:rsidR="000243BB">
              <w:rPr>
                <w:b/>
              </w:rPr>
              <w:t>B</w:t>
            </w:r>
            <w:r w:rsidRPr="00A640EA">
              <w:rPr>
                <w:b/>
              </w:rPr>
              <w:t xml:space="preserve">eneficiaries </w:t>
            </w:r>
          </w:p>
        </w:tc>
        <w:tc>
          <w:tcPr>
            <w:tcW w:w="990" w:type="dxa"/>
          </w:tcPr>
          <w:p w14:paraId="551CF633" w14:textId="341E5C5F" w:rsidR="00137F57" w:rsidRDefault="001E3399" w:rsidP="0037685B">
            <w:pPr>
              <w:jc w:val="both"/>
            </w:pPr>
            <w:r>
              <w:t>13,000</w:t>
            </w:r>
          </w:p>
        </w:tc>
        <w:tc>
          <w:tcPr>
            <w:tcW w:w="1259" w:type="dxa"/>
          </w:tcPr>
          <w:p w14:paraId="531DDAA4" w14:textId="2659B069" w:rsidR="00137F57" w:rsidRDefault="001E3399" w:rsidP="0037685B">
            <w:pPr>
              <w:jc w:val="both"/>
            </w:pPr>
            <w:r>
              <w:t>28,000</w:t>
            </w:r>
          </w:p>
        </w:tc>
        <w:tc>
          <w:tcPr>
            <w:tcW w:w="1081" w:type="dxa"/>
          </w:tcPr>
          <w:p w14:paraId="3B59B6CC" w14:textId="4E96A2DD" w:rsidR="00137F57" w:rsidRDefault="001E3399" w:rsidP="0037685B">
            <w:pPr>
              <w:jc w:val="both"/>
            </w:pPr>
            <w:r>
              <w:t>34,000</w:t>
            </w:r>
          </w:p>
        </w:tc>
        <w:tc>
          <w:tcPr>
            <w:tcW w:w="1080" w:type="dxa"/>
          </w:tcPr>
          <w:p w14:paraId="7BC67531" w14:textId="0F64E210" w:rsidR="00137F57" w:rsidRDefault="007127FC" w:rsidP="0037685B">
            <w:pPr>
              <w:jc w:val="both"/>
            </w:pPr>
            <w:r>
              <w:t>38,000</w:t>
            </w:r>
          </w:p>
        </w:tc>
        <w:tc>
          <w:tcPr>
            <w:tcW w:w="990" w:type="dxa"/>
          </w:tcPr>
          <w:p w14:paraId="078AC4C7" w14:textId="7CAEC7C5" w:rsidR="00137F57" w:rsidRDefault="007127FC" w:rsidP="0037685B">
            <w:pPr>
              <w:jc w:val="both"/>
            </w:pPr>
            <w:r>
              <w:t>44,000</w:t>
            </w:r>
          </w:p>
        </w:tc>
      </w:tr>
    </w:tbl>
    <w:p w14:paraId="74393E07" w14:textId="2D737FC2" w:rsidR="00E2659B" w:rsidRPr="00E2659B" w:rsidRDefault="00E2659B" w:rsidP="0037685B">
      <w:pPr>
        <w:jc w:val="both"/>
        <w:rPr>
          <w:sz w:val="20"/>
          <w:szCs w:val="20"/>
        </w:rPr>
      </w:pPr>
      <w:r w:rsidRPr="00E2659B">
        <w:rPr>
          <w:sz w:val="20"/>
          <w:szCs w:val="20"/>
        </w:rPr>
        <w:t>Source: Ministry of Health</w:t>
      </w:r>
      <w:r w:rsidRPr="00E2659B">
        <w:rPr>
          <w:sz w:val="20"/>
          <w:szCs w:val="20"/>
        </w:rPr>
        <w:tab/>
      </w:r>
      <w:r w:rsidRPr="00E2659B">
        <w:rPr>
          <w:sz w:val="20"/>
          <w:szCs w:val="20"/>
        </w:rPr>
        <w:br/>
      </w:r>
      <w:r w:rsidRPr="00E2659B">
        <w:rPr>
          <w:i/>
          <w:iCs/>
          <w:sz w:val="20"/>
          <w:szCs w:val="20"/>
        </w:rPr>
        <w:t>Note: The numbers are rounded off.</w:t>
      </w:r>
    </w:p>
    <w:p w14:paraId="0E7CA9A0" w14:textId="1B224E56" w:rsidR="00B8041D" w:rsidRDefault="00EB1E89" w:rsidP="0037685B">
      <w:pPr>
        <w:jc w:val="both"/>
      </w:pPr>
      <w:r>
        <w:t>The</w:t>
      </w:r>
      <w:r w:rsidR="00A64A15" w:rsidRPr="00A64A15">
        <w:t xml:space="preserve"> Caregiver Training Grant</w:t>
      </w:r>
      <w:r w:rsidR="00A64A15">
        <w:t xml:space="preserve"> (CTG)</w:t>
      </w:r>
      <w:r w:rsidR="00A64A15" w:rsidRPr="00A64A15">
        <w:t xml:space="preserve"> </w:t>
      </w:r>
      <w:r w:rsidR="008B1A3B">
        <w:t>has</w:t>
      </w:r>
      <w:r>
        <w:t xml:space="preserve"> also be</w:t>
      </w:r>
      <w:r w:rsidR="008B1A3B">
        <w:t>en</w:t>
      </w:r>
      <w:r w:rsidR="00A64A15" w:rsidRPr="00A64A15">
        <w:t xml:space="preserve"> </w:t>
      </w:r>
      <w:r w:rsidR="009427EB">
        <w:t>enhanced</w:t>
      </w:r>
      <w:r>
        <w:t xml:space="preserve"> for</w:t>
      </w:r>
      <w:r w:rsidR="00A64A15" w:rsidRPr="00A64A15">
        <w:t xml:space="preserve"> caregivers to learn to better care for their loved ones and themselves. From </w:t>
      </w:r>
      <w:r w:rsidR="009427EB">
        <w:t>Apr</w:t>
      </w:r>
      <w:r w:rsidR="00A64A15" w:rsidRPr="00A64A15">
        <w:t xml:space="preserve">-2024, caregivers can tap on up to </w:t>
      </w:r>
      <w:r w:rsidR="009E3DB5">
        <w:t xml:space="preserve">SGD </w:t>
      </w:r>
      <w:r w:rsidR="00A64A15" w:rsidRPr="00A64A15">
        <w:t xml:space="preserve">$400 in CTG subsidies per year, double that of </w:t>
      </w:r>
      <w:r w:rsidR="009E3DB5">
        <w:t xml:space="preserve">SGD </w:t>
      </w:r>
      <w:r w:rsidR="00A64A15" w:rsidRPr="00A64A15">
        <w:t xml:space="preserve">$200 before. We will also allow caregivers to tap on their </w:t>
      </w:r>
      <w:proofErr w:type="spellStart"/>
      <w:r w:rsidR="00A64A15" w:rsidRPr="00A64A15">
        <w:t>SkillsFuture</w:t>
      </w:r>
      <w:proofErr w:type="spellEnd"/>
      <w:r w:rsidR="00A64A15" w:rsidRPr="00A64A15">
        <w:t xml:space="preserve"> Credit to pay for eligible caregiver courses, to further reduce the cost of training. With these, we intend to scale up the number of subsidised training places for caregivers, to 4,400 each year across 200 courses. More places will be added, if needed, to ensure that the needs of caregivers are met.</w:t>
      </w:r>
    </w:p>
    <w:p w14:paraId="63F00D5A" w14:textId="5E4055CE" w:rsidR="00F96482" w:rsidRDefault="00A264C4" w:rsidP="00F267B7">
      <w:pPr>
        <w:jc w:val="both"/>
      </w:pPr>
      <w:r>
        <w:t xml:space="preserve">In </w:t>
      </w:r>
      <w:r w:rsidR="00D736E7">
        <w:t>2023,</w:t>
      </w:r>
      <w:r>
        <w:t xml:space="preserve"> </w:t>
      </w:r>
      <w:r w:rsidR="00714B16" w:rsidRPr="00A64A15">
        <w:t xml:space="preserve">MOM also expanded the Household Services Scheme via a </w:t>
      </w:r>
      <w:r w:rsidR="00D736E7">
        <w:t>2-year</w:t>
      </w:r>
      <w:r w:rsidR="00714B16" w:rsidRPr="00A64A15">
        <w:t xml:space="preserve"> pilot programme to provide participating companies with more migrant workers to offer basic child</w:t>
      </w:r>
      <w:r w:rsidR="00394BA7">
        <w:t>-</w:t>
      </w:r>
      <w:r w:rsidR="00714B16" w:rsidRPr="00A64A15">
        <w:t xml:space="preserve"> and elder</w:t>
      </w:r>
      <w:r w:rsidR="00394BA7">
        <w:t>-</w:t>
      </w:r>
      <w:r w:rsidR="00714B16" w:rsidRPr="00A64A15">
        <w:t>minding services.</w:t>
      </w:r>
      <w:r w:rsidR="00714B16">
        <w:t xml:space="preserve"> </w:t>
      </w:r>
      <w:r w:rsidR="00714B16" w:rsidRPr="00084744">
        <w:t xml:space="preserve">Under this scheme, </w:t>
      </w:r>
      <w:r w:rsidR="00394BA7">
        <w:t>households</w:t>
      </w:r>
      <w:r w:rsidR="00714B16" w:rsidRPr="00084744">
        <w:t xml:space="preserve"> </w:t>
      </w:r>
      <w:r w:rsidR="004378D4">
        <w:t>who need</w:t>
      </w:r>
      <w:r w:rsidR="00F96CFB">
        <w:t xml:space="preserve"> household services on an ad hoc basis can engage the services of such companies to provide</w:t>
      </w:r>
      <w:r w:rsidR="00714B16" w:rsidRPr="00084744">
        <w:t xml:space="preserve"> home cleaning, grocery shopping, and </w:t>
      </w:r>
      <w:r w:rsidR="00394BA7">
        <w:t>child-</w:t>
      </w:r>
      <w:r w:rsidR="00F96CFB">
        <w:t xml:space="preserve"> or </w:t>
      </w:r>
      <w:r w:rsidR="00714B16" w:rsidRPr="00084744">
        <w:t>elder-minding</w:t>
      </w:r>
      <w:r w:rsidR="00394BA7">
        <w:t xml:space="preserve"> services</w:t>
      </w:r>
      <w:r w:rsidR="00714B16" w:rsidRPr="00084744">
        <w:t xml:space="preserve">. </w:t>
      </w:r>
    </w:p>
    <w:p w14:paraId="17810109" w14:textId="3012511C" w:rsidR="00F9280E" w:rsidRPr="00820648" w:rsidRDefault="00F9280E" w:rsidP="0045392A">
      <w:pPr>
        <w:pStyle w:val="ListParagraph"/>
        <w:numPr>
          <w:ilvl w:val="0"/>
          <w:numId w:val="44"/>
        </w:numPr>
        <w:rPr>
          <w:b/>
          <w:bCs/>
        </w:rPr>
      </w:pPr>
      <w:r w:rsidRPr="00820648">
        <w:rPr>
          <w:b/>
          <w:bCs/>
        </w:rPr>
        <w:t>Campaigns for mindset shifts</w:t>
      </w:r>
    </w:p>
    <w:p w14:paraId="7C070DDA" w14:textId="03596047" w:rsidR="00D1423A" w:rsidRPr="00D1423A" w:rsidRDefault="00D1423A" w:rsidP="0037685B">
      <w:pPr>
        <w:jc w:val="both"/>
      </w:pPr>
      <w:r w:rsidRPr="00D1423A">
        <w:lastRenderedPageBreak/>
        <w:t xml:space="preserve">The Government has been promoting the importance of shared parental responsibilities, through working with community partners such as </w:t>
      </w:r>
      <w:r w:rsidR="25EF1349" w:rsidRPr="2E001AD7">
        <w:t>Families for Life</w:t>
      </w:r>
      <w:r w:rsidRPr="00D1423A">
        <w:t xml:space="preserve"> Council and the </w:t>
      </w:r>
      <w:r w:rsidR="110512CE" w:rsidRPr="2E001AD7">
        <w:t>Centre for Fathering (</w:t>
      </w:r>
      <w:r w:rsidR="002D6630">
        <w:t>CFF</w:t>
      </w:r>
      <w:r w:rsidR="62A1CF49" w:rsidRPr="2E001AD7">
        <w:t>)</w:t>
      </w:r>
      <w:r w:rsidRPr="00D1423A">
        <w:t xml:space="preserve"> on three key family movements in Singapore – Families for Life, Dads for Life, and Mums for Life movements. </w:t>
      </w:r>
    </w:p>
    <w:p w14:paraId="35AB4ED2" w14:textId="16CF2DE8" w:rsidR="00D1423A" w:rsidRPr="00D1423A" w:rsidRDefault="00D1423A" w:rsidP="0037685B">
      <w:pPr>
        <w:jc w:val="both"/>
      </w:pPr>
      <w:r w:rsidRPr="00D1423A">
        <w:t xml:space="preserve">These movements </w:t>
      </w:r>
      <w:r w:rsidR="00055891">
        <w:t>seek to strengthen</w:t>
      </w:r>
      <w:r w:rsidRPr="00D1423A">
        <w:t xml:space="preserve"> family ties with the aim of increasing marriage stability</w:t>
      </w:r>
      <w:r w:rsidR="5A74FFA0" w:rsidRPr="15BEC7C8">
        <w:t xml:space="preserve"> and family resilience</w:t>
      </w:r>
      <w:r w:rsidRPr="00D1423A">
        <w:t xml:space="preserve">, as well as advocating the importance of shared parenting and household responsibilities between mothers and fathers. </w:t>
      </w:r>
    </w:p>
    <w:p w14:paraId="277AD8BB" w14:textId="27A65F47" w:rsidR="00D1423A" w:rsidRDefault="46CD592E" w:rsidP="0037685B">
      <w:pPr>
        <w:jc w:val="both"/>
      </w:pPr>
      <w:r w:rsidRPr="447B4C7E">
        <w:t>T</w:t>
      </w:r>
      <w:r w:rsidR="00D1423A" w:rsidRPr="447B4C7E">
        <w:t xml:space="preserve">he </w:t>
      </w:r>
      <w:r w:rsidR="002D6630" w:rsidRPr="447B4C7E">
        <w:t>C</w:t>
      </w:r>
      <w:r w:rsidR="2CF06129" w:rsidRPr="447B4C7E">
        <w:t xml:space="preserve">entre for Fathering </w:t>
      </w:r>
      <w:r w:rsidR="00D1423A" w:rsidRPr="00D1423A">
        <w:t xml:space="preserve">runs several campaigns throughout the year to reinforce and signal the importance of fathers’ active involvement in their child’s development. One of the campaigns is the Great Companies for Dads Awards, which engages and recognises companies that nurture a family-friendly work culture through their policies and initiatives. </w:t>
      </w:r>
    </w:p>
    <w:p w14:paraId="5D2D718F" w14:textId="1F278ECF" w:rsidR="00156D22" w:rsidRPr="00CD2117" w:rsidRDefault="0060091B" w:rsidP="00703E60">
      <w:pPr>
        <w:jc w:val="both"/>
      </w:pPr>
      <w:r w:rsidRPr="0060091B">
        <w:t xml:space="preserve">In April 2021, United Women Singapore (UWS) launched a Boys Empowered Programme to help boys and young men between 12 – </w:t>
      </w:r>
      <w:r w:rsidR="00175F27">
        <w:t>25</w:t>
      </w:r>
      <w:r w:rsidR="00175F27" w:rsidRPr="0060091B">
        <w:t xml:space="preserve"> </w:t>
      </w:r>
      <w:r w:rsidRPr="0060091B">
        <w:t xml:space="preserve">years old to understand the connection between negative gender stereotypes and perpetration of violence against women. The programme creates safe spaces for boys to unpack and examine their notion of masculinity and unlearn some of the notions that may lead to harm toward others and themselves. Since the launch of the initiative, UWS has reached out through workshops and a speaker series to community groups, </w:t>
      </w:r>
      <w:r w:rsidR="00175F27">
        <w:t>I</w:t>
      </w:r>
      <w:r w:rsidR="00533CF4">
        <w:t>nstitutes of Higher Learning</w:t>
      </w:r>
      <w:r w:rsidRPr="0060091B">
        <w:t xml:space="preserve"> and Singapore Prisons (Juvenile). </w:t>
      </w:r>
    </w:p>
    <w:p w14:paraId="0E629359" w14:textId="77777777" w:rsidR="00703E60" w:rsidRPr="00CD2117" w:rsidRDefault="00703E60" w:rsidP="00703E60">
      <w:pPr>
        <w:jc w:val="both"/>
      </w:pPr>
    </w:p>
    <w:p w14:paraId="05C7BEF1" w14:textId="74F3C9BE" w:rsidR="00156D22" w:rsidRPr="00F267B7" w:rsidRDefault="00444C0A" w:rsidP="009A364F">
      <w:pPr>
        <w:pStyle w:val="Heading3"/>
        <w:jc w:val="both"/>
        <w:rPr>
          <w:b/>
          <w:bCs/>
          <w:u w:val="single"/>
        </w:rPr>
      </w:pPr>
      <w:bookmarkStart w:id="14" w:name="_Toc169709877"/>
      <w:r w:rsidRPr="00F267B7">
        <w:rPr>
          <w:b/>
          <w:bCs/>
        </w:rPr>
        <w:t>C</w:t>
      </w:r>
      <w:r w:rsidR="00470E38" w:rsidRPr="00F267B7">
        <w:rPr>
          <w:b/>
          <w:bCs/>
        </w:rPr>
        <w:t>.</w:t>
      </w:r>
      <w:r w:rsidR="00470E38" w:rsidRPr="00F267B7">
        <w:rPr>
          <w:b/>
          <w:bCs/>
        </w:rPr>
        <w:tab/>
      </w:r>
      <w:r w:rsidR="00156D22" w:rsidRPr="00F267B7">
        <w:rPr>
          <w:b/>
          <w:bCs/>
          <w:u w:val="single"/>
        </w:rPr>
        <w:t xml:space="preserve">Macroeconomic and </w:t>
      </w:r>
      <w:r w:rsidR="00FE0D67">
        <w:rPr>
          <w:b/>
          <w:u w:val="single"/>
        </w:rPr>
        <w:t>F</w:t>
      </w:r>
      <w:r w:rsidR="00156D22" w:rsidRPr="00F267B7">
        <w:rPr>
          <w:b/>
          <w:u w:val="single"/>
        </w:rPr>
        <w:t xml:space="preserve">iscal </w:t>
      </w:r>
      <w:r w:rsidR="00FE0D67">
        <w:rPr>
          <w:b/>
          <w:u w:val="single"/>
        </w:rPr>
        <w:t>P</w:t>
      </w:r>
      <w:r w:rsidR="00156D22" w:rsidRPr="00F267B7">
        <w:rPr>
          <w:b/>
          <w:u w:val="single"/>
        </w:rPr>
        <w:t xml:space="preserve">olicy </w:t>
      </w:r>
      <w:r w:rsidR="00FE0D67">
        <w:rPr>
          <w:b/>
          <w:u w:val="single"/>
        </w:rPr>
        <w:t>E</w:t>
      </w:r>
      <w:r w:rsidR="00156D22" w:rsidRPr="00F267B7">
        <w:rPr>
          <w:b/>
          <w:u w:val="single"/>
        </w:rPr>
        <w:t>nvironment</w:t>
      </w:r>
      <w:bookmarkEnd w:id="14"/>
      <w:r w:rsidR="00156D22" w:rsidRPr="00F267B7">
        <w:rPr>
          <w:b/>
          <w:bCs/>
          <w:u w:val="single"/>
        </w:rPr>
        <w:t xml:space="preserve"> </w:t>
      </w:r>
    </w:p>
    <w:p w14:paraId="4FCB037B" w14:textId="092320C9" w:rsidR="002B6044" w:rsidRPr="002D4842" w:rsidRDefault="00FE0D67" w:rsidP="00703E60">
      <w:pPr>
        <w:jc w:val="both"/>
      </w:pPr>
      <w:r>
        <w:rPr>
          <w:bCs/>
          <w:lang w:val="en-GB"/>
        </w:rPr>
        <w:br/>
      </w:r>
      <w:r w:rsidR="000428DC">
        <w:rPr>
          <w:bCs/>
          <w:lang w:val="en-GB"/>
        </w:rPr>
        <w:t xml:space="preserve">Singapore’s economy continues to do well. In 2023, Singapore’s real GDP grew by 1.1%. The Ministry of Trade and Industry has maintained the real GDP growth forecast for 2024 at 1.0% to 3.0%. Our per Capita GDP at current market prices stands at </w:t>
      </w:r>
      <w:r w:rsidR="005E6D7B">
        <w:rPr>
          <w:bCs/>
          <w:lang w:val="en-GB"/>
        </w:rPr>
        <w:t xml:space="preserve">SGD </w:t>
      </w:r>
      <w:r w:rsidR="000428DC">
        <w:rPr>
          <w:bCs/>
          <w:lang w:val="en-GB"/>
        </w:rPr>
        <w:t>$113,779, as of 2023.</w:t>
      </w:r>
      <w:r w:rsidR="00895E2F" w:rsidRPr="00895E2F">
        <w:t xml:space="preserve"> </w:t>
      </w:r>
      <w:r w:rsidR="00452FAD" w:rsidRPr="00452FAD">
        <w:t xml:space="preserve">Singapore women </w:t>
      </w:r>
      <w:r w:rsidR="00452FAD">
        <w:t xml:space="preserve">also continue to make </w:t>
      </w:r>
      <w:r w:rsidR="00452FAD" w:rsidRPr="00452FAD">
        <w:t xml:space="preserve">great strides in many areas, such as education, leadership, community and </w:t>
      </w:r>
      <w:r w:rsidR="00452FAD">
        <w:t>contribute</w:t>
      </w:r>
      <w:r w:rsidR="00452FAD" w:rsidRPr="00452FAD">
        <w:t xml:space="preserve"> in turn to Singapore’s economy.</w:t>
      </w:r>
      <w:r w:rsidR="00C72F13">
        <w:t xml:space="preserve"> </w:t>
      </w:r>
    </w:p>
    <w:p w14:paraId="736C754B" w14:textId="03495CCC" w:rsidR="717B3E39" w:rsidRPr="002D4842" w:rsidRDefault="2185A5FD" w:rsidP="002D4842">
      <w:pPr>
        <w:tabs>
          <w:tab w:val="left" w:pos="1414"/>
        </w:tabs>
        <w:spacing w:after="120" w:line="257" w:lineRule="auto"/>
        <w:jc w:val="both"/>
        <w:rPr>
          <w:rFonts w:ascii="Calibri" w:eastAsia="Calibri" w:hAnsi="Calibri" w:cs="Calibri"/>
        </w:rPr>
      </w:pPr>
      <w:r w:rsidRPr="717B3E39">
        <w:rPr>
          <w:rFonts w:ascii="Calibri" w:eastAsia="Calibri" w:hAnsi="Calibri" w:cs="Calibri"/>
        </w:rPr>
        <w:t xml:space="preserve">The Government continues to dedicate resources to advance and empower women in Singapore. </w:t>
      </w:r>
      <w:r w:rsidR="0A4A5419" w:rsidRPr="0EAAB240">
        <w:rPr>
          <w:rFonts w:ascii="Calibri" w:eastAsia="Calibri" w:hAnsi="Calibri" w:cs="Calibri"/>
        </w:rPr>
        <w:t>G</w:t>
      </w:r>
      <w:r w:rsidRPr="0EAAB240">
        <w:rPr>
          <w:rFonts w:ascii="Calibri" w:eastAsia="Calibri" w:hAnsi="Calibri" w:cs="Calibri"/>
        </w:rPr>
        <w:t xml:space="preserve">overnment </w:t>
      </w:r>
      <w:r w:rsidR="5AB574D7" w:rsidRPr="0EAAB240">
        <w:rPr>
          <w:rFonts w:ascii="Calibri" w:eastAsia="Calibri" w:hAnsi="Calibri" w:cs="Calibri"/>
        </w:rPr>
        <w:t>E</w:t>
      </w:r>
      <w:r w:rsidRPr="0EAAB240">
        <w:rPr>
          <w:rFonts w:ascii="Calibri" w:eastAsia="Calibri" w:hAnsi="Calibri" w:cs="Calibri"/>
        </w:rPr>
        <w:t>xpenditure</w:t>
      </w:r>
      <w:r w:rsidRPr="717B3E39">
        <w:rPr>
          <w:rFonts w:ascii="Calibri" w:eastAsia="Calibri" w:hAnsi="Calibri" w:cs="Calibri"/>
        </w:rPr>
        <w:t xml:space="preserve"> on social development has increased from </w:t>
      </w:r>
      <w:r w:rsidR="005515F8">
        <w:rPr>
          <w:rFonts w:ascii="Calibri" w:eastAsia="Calibri" w:hAnsi="Calibri" w:cs="Calibri"/>
        </w:rPr>
        <w:t xml:space="preserve">SGD </w:t>
      </w:r>
      <w:r w:rsidRPr="717B3E39">
        <w:rPr>
          <w:rFonts w:ascii="Calibri" w:eastAsia="Calibri" w:hAnsi="Calibri" w:cs="Calibri"/>
        </w:rPr>
        <w:t>$</w:t>
      </w:r>
      <w:r w:rsidR="22C96A19" w:rsidRPr="717B3E39">
        <w:rPr>
          <w:rFonts w:ascii="Calibri" w:eastAsia="Calibri" w:hAnsi="Calibri" w:cs="Calibri"/>
        </w:rPr>
        <w:t>3</w:t>
      </w:r>
      <w:r w:rsidR="09340793" w:rsidRPr="717B3E39">
        <w:rPr>
          <w:rFonts w:ascii="Calibri" w:eastAsia="Calibri" w:hAnsi="Calibri" w:cs="Calibri"/>
        </w:rPr>
        <w:t>6.6</w:t>
      </w:r>
      <w:r w:rsidR="22C96A19" w:rsidRPr="717B3E39">
        <w:rPr>
          <w:rFonts w:ascii="Calibri" w:eastAsia="Calibri" w:hAnsi="Calibri" w:cs="Calibri"/>
        </w:rPr>
        <w:t>b</w:t>
      </w:r>
      <w:r w:rsidRPr="717B3E39">
        <w:rPr>
          <w:rFonts w:ascii="Calibri" w:eastAsia="Calibri" w:hAnsi="Calibri" w:cs="Calibri"/>
        </w:rPr>
        <w:t xml:space="preserve"> (</w:t>
      </w:r>
      <w:r w:rsidR="182D949E" w:rsidRPr="717B3E39">
        <w:rPr>
          <w:rFonts w:ascii="Calibri" w:eastAsia="Calibri" w:hAnsi="Calibri" w:cs="Calibri"/>
        </w:rPr>
        <w:t>7.1% of GDP</w:t>
      </w:r>
      <w:r w:rsidRPr="717B3E39">
        <w:rPr>
          <w:rFonts w:ascii="Calibri" w:eastAsia="Calibri" w:hAnsi="Calibri" w:cs="Calibri"/>
        </w:rPr>
        <w:t>) in Financial Year 2019, to</w:t>
      </w:r>
      <w:r w:rsidR="005515F8">
        <w:rPr>
          <w:rFonts w:ascii="Calibri" w:eastAsia="Calibri" w:hAnsi="Calibri" w:cs="Calibri"/>
        </w:rPr>
        <w:t xml:space="preserve"> SGD</w:t>
      </w:r>
      <w:r w:rsidRPr="717B3E39">
        <w:rPr>
          <w:rFonts w:ascii="Calibri" w:eastAsia="Calibri" w:hAnsi="Calibri" w:cs="Calibri"/>
        </w:rPr>
        <w:t xml:space="preserve"> $</w:t>
      </w:r>
      <w:r w:rsidR="274AC43B" w:rsidRPr="717B3E39">
        <w:rPr>
          <w:rFonts w:ascii="Calibri" w:eastAsia="Calibri" w:hAnsi="Calibri" w:cs="Calibri"/>
        </w:rPr>
        <w:t>5</w:t>
      </w:r>
      <w:r w:rsidR="1227C967" w:rsidRPr="717B3E39">
        <w:rPr>
          <w:rFonts w:ascii="Calibri" w:eastAsia="Calibri" w:hAnsi="Calibri" w:cs="Calibri"/>
        </w:rPr>
        <w:t>6.1</w:t>
      </w:r>
      <w:r w:rsidR="274AC43B" w:rsidRPr="717B3E39">
        <w:rPr>
          <w:rFonts w:ascii="Calibri" w:eastAsia="Calibri" w:hAnsi="Calibri" w:cs="Calibri"/>
        </w:rPr>
        <w:t>b</w:t>
      </w:r>
      <w:r w:rsidRPr="717B3E39">
        <w:rPr>
          <w:rFonts w:ascii="Calibri" w:eastAsia="Calibri" w:hAnsi="Calibri" w:cs="Calibri"/>
        </w:rPr>
        <w:t xml:space="preserve"> (</w:t>
      </w:r>
      <w:r w:rsidR="5AD1C0A9" w:rsidRPr="717B3E39">
        <w:rPr>
          <w:rFonts w:ascii="Calibri" w:eastAsia="Calibri" w:hAnsi="Calibri" w:cs="Calibri"/>
        </w:rPr>
        <w:t>7.8% of GDP</w:t>
      </w:r>
      <w:r w:rsidRPr="717B3E39">
        <w:rPr>
          <w:rFonts w:ascii="Calibri" w:eastAsia="Calibri" w:hAnsi="Calibri" w:cs="Calibri"/>
        </w:rPr>
        <w:t xml:space="preserve">) in Financial Year 2024. This includes </w:t>
      </w:r>
      <w:r w:rsidR="551E724A" w:rsidRPr="0EAAB240">
        <w:rPr>
          <w:rFonts w:ascii="Calibri" w:eastAsia="Calibri" w:hAnsi="Calibri" w:cs="Calibri"/>
        </w:rPr>
        <w:t>Government E</w:t>
      </w:r>
      <w:r w:rsidRPr="0EAAB240">
        <w:rPr>
          <w:rFonts w:ascii="Calibri" w:eastAsia="Calibri" w:hAnsi="Calibri" w:cs="Calibri"/>
        </w:rPr>
        <w:t>xpenditure</w:t>
      </w:r>
      <w:r w:rsidRPr="717B3E39">
        <w:rPr>
          <w:rFonts w:ascii="Calibri" w:eastAsia="Calibri" w:hAnsi="Calibri" w:cs="Calibri"/>
        </w:rPr>
        <w:t xml:space="preserve"> relating to health, education</w:t>
      </w:r>
      <w:r w:rsidR="2464F82E" w:rsidRPr="0EAAB240">
        <w:rPr>
          <w:rFonts w:ascii="Calibri" w:eastAsia="Calibri" w:hAnsi="Calibri" w:cs="Calibri"/>
        </w:rPr>
        <w:t>,</w:t>
      </w:r>
      <w:r w:rsidRPr="717B3E39">
        <w:rPr>
          <w:rFonts w:ascii="Calibri" w:eastAsia="Calibri" w:hAnsi="Calibri" w:cs="Calibri"/>
        </w:rPr>
        <w:t xml:space="preserve"> and social protection. </w:t>
      </w:r>
    </w:p>
    <w:p w14:paraId="3862581A" w14:textId="47C1C219" w:rsidR="001B664F" w:rsidRDefault="00691BB8" w:rsidP="00ED1B1A">
      <w:pPr>
        <w:pStyle w:val="BodyText2"/>
        <w:tabs>
          <w:tab w:val="left" w:pos="1414"/>
        </w:tabs>
        <w:spacing w:before="120" w:after="120" w:line="240" w:lineRule="auto"/>
        <w:contextualSpacing/>
        <w:rPr>
          <w:lang w:val="en-US"/>
        </w:rPr>
      </w:pPr>
      <w:r w:rsidRPr="002B6044">
        <w:rPr>
          <w:lang w:val="en-US"/>
        </w:rPr>
        <w:t xml:space="preserve">For example, provision of childcare services alleviates caregiving needs which fall disproportionately on women, and enable women to participate in the workforce. We have doubled </w:t>
      </w:r>
      <w:r w:rsidR="00F84DFE">
        <w:rPr>
          <w:lang w:val="en-US"/>
        </w:rPr>
        <w:t>G</w:t>
      </w:r>
      <w:r w:rsidRPr="002B6044">
        <w:rPr>
          <w:lang w:val="en-US"/>
        </w:rPr>
        <w:t xml:space="preserve">overnment expenditure on the early childhood care and education sector from </w:t>
      </w:r>
      <w:r w:rsidR="00C905C3">
        <w:rPr>
          <w:lang w:val="en-US"/>
        </w:rPr>
        <w:t xml:space="preserve">SGD </w:t>
      </w:r>
      <w:r w:rsidRPr="002B6044">
        <w:rPr>
          <w:lang w:val="en-US"/>
        </w:rPr>
        <w:t xml:space="preserve">$1 billion in 2018, to </w:t>
      </w:r>
      <w:r w:rsidR="00C905C3">
        <w:rPr>
          <w:lang w:val="en-US"/>
        </w:rPr>
        <w:t xml:space="preserve">SGD </w:t>
      </w:r>
      <w:r w:rsidRPr="002B6044">
        <w:rPr>
          <w:lang w:val="en-US"/>
        </w:rPr>
        <w:t xml:space="preserve">$2.2 billion in 2023 (0.3% of GDP of </w:t>
      </w:r>
      <w:r w:rsidR="00C905C3">
        <w:rPr>
          <w:lang w:val="en-US"/>
        </w:rPr>
        <w:t xml:space="preserve">SGD </w:t>
      </w:r>
      <w:r w:rsidRPr="002B6044">
        <w:rPr>
          <w:lang w:val="en-US"/>
        </w:rPr>
        <w:t>$673.3 billion in 2023).</w:t>
      </w:r>
      <w:r w:rsidR="00166613">
        <w:rPr>
          <w:lang w:val="en-US"/>
        </w:rPr>
        <w:t xml:space="preserve"> </w:t>
      </w:r>
    </w:p>
    <w:p w14:paraId="6F1EF020" w14:textId="77777777" w:rsidR="00B50BEE" w:rsidRDefault="00B50BEE">
      <w:pPr>
        <w:pStyle w:val="BodyText2"/>
        <w:tabs>
          <w:tab w:val="left" w:pos="1414"/>
        </w:tabs>
        <w:spacing w:before="120" w:after="120" w:line="240" w:lineRule="auto"/>
        <w:contextualSpacing/>
        <w:rPr>
          <w:rStyle w:val="Heading2Char"/>
          <w:rFonts w:asciiTheme="minorHAnsi" w:hAnsiTheme="minorHAnsi" w:cstheme="minorHAnsi"/>
          <w:sz w:val="22"/>
          <w:szCs w:val="22"/>
        </w:rPr>
      </w:pPr>
    </w:p>
    <w:p w14:paraId="6F0E6959" w14:textId="77777777" w:rsidR="00B50BEE" w:rsidRDefault="00B50BEE">
      <w:pPr>
        <w:pStyle w:val="BodyText2"/>
        <w:tabs>
          <w:tab w:val="left" w:pos="1414"/>
        </w:tabs>
        <w:spacing w:before="120" w:after="120" w:line="240" w:lineRule="auto"/>
        <w:contextualSpacing/>
        <w:rPr>
          <w:rStyle w:val="Heading2Char"/>
          <w:rFonts w:asciiTheme="minorHAnsi" w:hAnsiTheme="minorHAnsi" w:cstheme="minorHAnsi"/>
          <w:sz w:val="22"/>
          <w:szCs w:val="22"/>
        </w:rPr>
      </w:pPr>
    </w:p>
    <w:p w14:paraId="40380B28" w14:textId="1C88A1DA" w:rsidR="00642401" w:rsidRPr="00642401" w:rsidRDefault="007F4A5B" w:rsidP="00642401">
      <w:pPr>
        <w:pStyle w:val="Heading2"/>
        <w:rPr>
          <w:rStyle w:val="Heading3Char"/>
          <w:b/>
          <w:bCs/>
          <w:u w:val="single"/>
        </w:rPr>
      </w:pPr>
      <w:bookmarkStart w:id="15" w:name="_Toc169709878"/>
      <w:r w:rsidRPr="00642401">
        <w:rPr>
          <w:rStyle w:val="Heading4Char"/>
          <w:b/>
          <w:i w:val="0"/>
          <w:sz w:val="28"/>
          <w:szCs w:val="28"/>
          <w:u w:val="single"/>
        </w:rPr>
        <w:t>Poverty</w:t>
      </w:r>
      <w:r w:rsidRPr="00642401">
        <w:rPr>
          <w:rStyle w:val="Heading2Char"/>
          <w:b/>
          <w:sz w:val="32"/>
          <w:szCs w:val="32"/>
          <w:u w:val="single"/>
        </w:rPr>
        <w:t xml:space="preserve"> eradication, social protection, and social services</w:t>
      </w:r>
      <w:bookmarkEnd w:id="15"/>
      <w:r w:rsidR="00463039">
        <w:rPr>
          <w:b/>
          <w:bCs/>
          <w:u w:val="single"/>
        </w:rPr>
        <w:br/>
      </w:r>
    </w:p>
    <w:p w14:paraId="241CDDC1" w14:textId="41F98026" w:rsidR="192BAB25" w:rsidRPr="003D3473" w:rsidRDefault="00470E38" w:rsidP="00642401">
      <w:pPr>
        <w:pStyle w:val="Heading3"/>
      </w:pPr>
      <w:bookmarkStart w:id="16" w:name="_Toc169709879"/>
      <w:r>
        <w:rPr>
          <w:rStyle w:val="Heading3Char"/>
          <w:b/>
          <w:bCs/>
        </w:rPr>
        <w:t>A.</w:t>
      </w:r>
      <w:r>
        <w:rPr>
          <w:rStyle w:val="Heading3Char"/>
          <w:b/>
          <w:bCs/>
        </w:rPr>
        <w:tab/>
      </w:r>
      <w:r w:rsidR="00637E50" w:rsidRPr="000F2628">
        <w:rPr>
          <w:rStyle w:val="Heading3Char"/>
          <w:b/>
          <w:u w:val="single"/>
        </w:rPr>
        <w:t xml:space="preserve"> </w:t>
      </w:r>
      <w:r w:rsidR="00A1175B">
        <w:rPr>
          <w:rStyle w:val="Heading3Char"/>
          <w:b/>
          <w:u w:val="single"/>
        </w:rPr>
        <w:t>Promoting Access to Work</w:t>
      </w:r>
      <w:r w:rsidR="009C30F8">
        <w:rPr>
          <w:rStyle w:val="Heading3Char"/>
          <w:b/>
          <w:u w:val="single"/>
        </w:rPr>
        <w:t xml:space="preserve"> for Women</w:t>
      </w:r>
      <w:bookmarkEnd w:id="16"/>
    </w:p>
    <w:p w14:paraId="7568D159" w14:textId="4722B26B" w:rsidR="000E75B5" w:rsidRPr="00163F83" w:rsidRDefault="00404EE0" w:rsidP="00163F83">
      <w:r>
        <w:br/>
      </w:r>
      <w:r w:rsidR="00B55A36" w:rsidRPr="00B55A36">
        <w:t>The Government will continue to empower all women, including low-income women, to enter or re-enter, remain and progress in the workforce</w:t>
      </w:r>
      <w:r w:rsidR="001B0C4F">
        <w:t>.</w:t>
      </w:r>
    </w:p>
    <w:p w14:paraId="7691B57D" w14:textId="365EDDFC" w:rsidR="000F327B" w:rsidRPr="001B0C4F" w:rsidRDefault="00304981" w:rsidP="001B0C4F">
      <w:pPr>
        <w:pStyle w:val="ListParagraph"/>
        <w:ind w:left="0"/>
        <w:jc w:val="both"/>
      </w:pPr>
      <w:r>
        <w:lastRenderedPageBreak/>
        <w:t xml:space="preserve">MOM </w:t>
      </w:r>
      <w:r w:rsidRPr="00304981">
        <w:t>work</w:t>
      </w:r>
      <w:r>
        <w:t>s</w:t>
      </w:r>
      <w:r w:rsidRPr="00304981">
        <w:t xml:space="preserve"> with tripartite partners and community stakeholders to provide networking, mentorships and training opportunities to inspire and nurture women in entering and progressing in their careers of choice. </w:t>
      </w:r>
      <w:r w:rsidRPr="5E13983A">
        <w:t xml:space="preserve">There is a variety of career facilitation and training programmes </w:t>
      </w:r>
      <w:r w:rsidR="00406D9B">
        <w:t>offered by</w:t>
      </w:r>
      <w:r w:rsidRPr="5E13983A">
        <w:t xml:space="preserve"> Workforce Singapore (WSG)</w:t>
      </w:r>
      <w:r w:rsidR="001243E7">
        <w:t xml:space="preserve">. </w:t>
      </w:r>
      <w:r w:rsidR="007A7557" w:rsidRPr="5E13983A">
        <w:t>This includes Career Trial, which is a short-term trial for host companies and jobseekers to assess job fit before considering formal employment, with a training allowance provided by the Government during the trial. There are also retention incentives for jobseekers who are hired and stay on after the trial</w:t>
      </w:r>
      <w:r w:rsidR="0072432A" w:rsidRPr="5E13983A">
        <w:t xml:space="preserve">. </w:t>
      </w:r>
      <w:r w:rsidR="00020D64" w:rsidRPr="5E13983A">
        <w:t xml:space="preserve">Jobseekers who may require reskilling can tap on Career Conversion Programmes (CCPs). </w:t>
      </w:r>
      <w:r w:rsidR="008C7C8F">
        <w:t>CCPs provide employers with salary support for new hires to move into new occupations or sectors that have good prospects and opportunities for progression</w:t>
      </w:r>
      <w:r w:rsidR="008C7C8F" w:rsidRPr="00927194">
        <w:t>, with higher support given to those who may require more help, e.g. older jobseekers or jobseekers</w:t>
      </w:r>
      <w:r w:rsidR="008C7C8F">
        <w:t xml:space="preserve"> </w:t>
      </w:r>
      <w:r w:rsidR="008C7C8F" w:rsidRPr="00927194">
        <w:t>who may be out of the workforce for an extended period of time.</w:t>
      </w:r>
      <w:r w:rsidR="008C7C8F">
        <w:t xml:space="preserve"> </w:t>
      </w:r>
    </w:p>
    <w:p w14:paraId="14BFB22B" w14:textId="0E4E7F01" w:rsidR="008B7FC8" w:rsidRDefault="00317D9C" w:rsidP="00001C24">
      <w:pPr>
        <w:jc w:val="both"/>
      </w:pPr>
      <w:r w:rsidRPr="00927194">
        <w:t>For low-income working mothers</w:t>
      </w:r>
      <w:r w:rsidR="00024A4B" w:rsidRPr="00927194">
        <w:t xml:space="preserve"> who work irregular hours</w:t>
      </w:r>
      <w:r w:rsidRPr="00927194">
        <w:t xml:space="preserve">, </w:t>
      </w:r>
      <w:r w:rsidR="00AB33E2" w:rsidRPr="00927194">
        <w:t xml:space="preserve">a childminding service launched in 2022 by a local NGO Daughters of Tomorrow operates beyond </w:t>
      </w:r>
      <w:r w:rsidR="00024A4B" w:rsidRPr="00927194">
        <w:t xml:space="preserve">regular </w:t>
      </w:r>
      <w:r w:rsidR="00AB33E2" w:rsidRPr="00927194">
        <w:t>childcare and student care centre hours</w:t>
      </w:r>
      <w:r w:rsidR="00BE7CBF" w:rsidRPr="00927194">
        <w:t xml:space="preserve"> to help cater to their unique work</w:t>
      </w:r>
      <w:r w:rsidR="002D27CC" w:rsidRPr="00927194">
        <w:t xml:space="preserve"> hours</w:t>
      </w:r>
      <w:r w:rsidR="001E577F">
        <w:rPr>
          <w:bCs/>
        </w:rPr>
        <w:t xml:space="preserve"> and enable them to remain employed</w:t>
      </w:r>
      <w:r w:rsidR="00024A4B" w:rsidRPr="00927194">
        <w:t>.</w:t>
      </w:r>
      <w:r w:rsidR="00AB33E2" w:rsidRPr="00927194">
        <w:t xml:space="preserve"> This service has expanded from nine rental public housing blocks in its infant phase to its current island-wide reach as of January 2024</w:t>
      </w:r>
      <w:r w:rsidR="00A5438E" w:rsidRPr="00927194">
        <w:t xml:space="preserve">. </w:t>
      </w:r>
    </w:p>
    <w:p w14:paraId="3774064B" w14:textId="3296A29A" w:rsidR="001A652D" w:rsidRPr="00470E38" w:rsidRDefault="00D14266" w:rsidP="0045392A">
      <w:pPr>
        <w:pStyle w:val="ListParagraph"/>
        <w:numPr>
          <w:ilvl w:val="0"/>
          <w:numId w:val="15"/>
        </w:numPr>
        <w:rPr>
          <w:b/>
          <w:bCs/>
        </w:rPr>
      </w:pPr>
      <w:r>
        <w:rPr>
          <w:b/>
          <w:bCs/>
        </w:rPr>
        <w:t>Pro</w:t>
      </w:r>
      <w:r w:rsidR="00DC2998">
        <w:rPr>
          <w:b/>
          <w:bCs/>
        </w:rPr>
        <w:t>moting</w:t>
      </w:r>
      <w:r>
        <w:rPr>
          <w:b/>
          <w:bCs/>
        </w:rPr>
        <w:t xml:space="preserve"> a</w:t>
      </w:r>
      <w:r w:rsidR="0040521B" w:rsidRPr="00470E38">
        <w:rPr>
          <w:b/>
          <w:bCs/>
        </w:rPr>
        <w:t>ccess to work for older women</w:t>
      </w:r>
      <w:r w:rsidR="00757385">
        <w:rPr>
          <w:b/>
          <w:bCs/>
        </w:rPr>
        <w:t xml:space="preserve"> </w:t>
      </w:r>
    </w:p>
    <w:p w14:paraId="5A9BE881" w14:textId="0BD6BD58" w:rsidR="00C439DC" w:rsidRDefault="00E4003D" w:rsidP="00B72CAC">
      <w:pPr>
        <w:pStyle w:val="BodyText2"/>
      </w:pPr>
      <w:r>
        <w:t>For older women in particular, s</w:t>
      </w:r>
      <w:r w:rsidR="00C439DC" w:rsidRPr="00A91BCB">
        <w:t>kills upgrading and job search</w:t>
      </w:r>
      <w:r w:rsidR="00C439DC">
        <w:t xml:space="preserve"> </w:t>
      </w:r>
      <w:r w:rsidR="00C439DC" w:rsidRPr="00A91BCB">
        <w:t xml:space="preserve">assistance will be helpful in </w:t>
      </w:r>
      <w:r>
        <w:t>enabling them to enter and remain in the workforce.</w:t>
      </w:r>
    </w:p>
    <w:p w14:paraId="31152CBE" w14:textId="3F08D141" w:rsidR="001A652D" w:rsidRPr="002D229C" w:rsidRDefault="002D229C" w:rsidP="00AA540F">
      <w:pPr>
        <w:jc w:val="both"/>
        <w:rPr>
          <w:lang w:eastAsia="en-SG"/>
        </w:rPr>
      </w:pPr>
      <w:r>
        <w:t>T</w:t>
      </w:r>
      <w:r w:rsidR="001A652D">
        <w:t xml:space="preserve">he </w:t>
      </w:r>
      <w:r w:rsidR="001A652D" w:rsidRPr="0023157C">
        <w:rPr>
          <w:lang w:eastAsia="en-SG"/>
        </w:rPr>
        <w:t xml:space="preserve">Senior Employment Credit </w:t>
      </w:r>
      <w:r w:rsidR="68E4EA4D" w:rsidRPr="266D048F">
        <w:rPr>
          <w:lang w:eastAsia="en-SG"/>
        </w:rPr>
        <w:t xml:space="preserve">(SEC) </w:t>
      </w:r>
      <w:r w:rsidR="001A652D" w:rsidRPr="0023157C">
        <w:rPr>
          <w:lang w:eastAsia="en-SG"/>
        </w:rPr>
        <w:t>and Part-Time Re-employment Grant</w:t>
      </w:r>
      <w:r>
        <w:rPr>
          <w:lang w:eastAsia="en-SG"/>
        </w:rPr>
        <w:t xml:space="preserve"> </w:t>
      </w:r>
      <w:r w:rsidR="3A24530D" w:rsidRPr="266D048F">
        <w:rPr>
          <w:lang w:eastAsia="en-SG"/>
        </w:rPr>
        <w:t>(</w:t>
      </w:r>
      <w:r w:rsidR="3A24530D" w:rsidRPr="17AF02AB">
        <w:rPr>
          <w:lang w:eastAsia="en-SG"/>
        </w:rPr>
        <w:t xml:space="preserve">PTRG) </w:t>
      </w:r>
      <w:r>
        <w:rPr>
          <w:lang w:eastAsia="en-SG"/>
        </w:rPr>
        <w:t xml:space="preserve">provide </w:t>
      </w:r>
      <w:r>
        <w:t xml:space="preserve">support for </w:t>
      </w:r>
      <w:r w:rsidR="3A24EA85">
        <w:t>employers to hire and retain senior workers, including older women</w:t>
      </w:r>
      <w:r>
        <w:t xml:space="preserve">. </w:t>
      </w:r>
      <w:r w:rsidR="001A652D" w:rsidRPr="001A652D">
        <w:rPr>
          <w:lang w:eastAsia="en-SG"/>
        </w:rPr>
        <w:t xml:space="preserve">The </w:t>
      </w:r>
      <w:r w:rsidR="7192164E" w:rsidRPr="17AF02AB">
        <w:rPr>
          <w:lang w:eastAsia="en-SG"/>
        </w:rPr>
        <w:t>SEC</w:t>
      </w:r>
      <w:r w:rsidR="001A652D" w:rsidRPr="001A652D">
        <w:rPr>
          <w:lang w:eastAsia="en-SG"/>
        </w:rPr>
        <w:t xml:space="preserve"> provides wage offsets of up to 7% to employers who employ Singaporean workers aged 60 and above earning up to </w:t>
      </w:r>
      <w:r w:rsidR="007A778F">
        <w:rPr>
          <w:lang w:eastAsia="en-SG"/>
        </w:rPr>
        <w:t xml:space="preserve">SGD </w:t>
      </w:r>
      <w:r w:rsidR="001A652D" w:rsidRPr="001A652D">
        <w:rPr>
          <w:lang w:eastAsia="en-SG"/>
        </w:rPr>
        <w:t>$4,000 per month. More support is given for older age bands.</w:t>
      </w:r>
      <w:r>
        <w:rPr>
          <w:lang w:eastAsia="en-SG"/>
        </w:rPr>
        <w:t xml:space="preserve"> </w:t>
      </w:r>
      <w:r w:rsidR="001A652D" w:rsidRPr="001A652D">
        <w:rPr>
          <w:lang w:eastAsia="en-SG"/>
        </w:rPr>
        <w:t xml:space="preserve">The </w:t>
      </w:r>
      <w:r w:rsidR="745CECA3" w:rsidRPr="17AF02AB">
        <w:rPr>
          <w:lang w:eastAsia="en-SG"/>
        </w:rPr>
        <w:t>PTRG</w:t>
      </w:r>
      <w:r w:rsidR="001A652D" w:rsidRPr="001A652D">
        <w:rPr>
          <w:lang w:eastAsia="en-SG"/>
        </w:rPr>
        <w:t xml:space="preserve"> provides up to </w:t>
      </w:r>
      <w:r w:rsidR="007A778F">
        <w:rPr>
          <w:lang w:eastAsia="en-SG"/>
        </w:rPr>
        <w:t xml:space="preserve">SGD </w:t>
      </w:r>
      <w:r w:rsidR="001A652D" w:rsidRPr="001A652D">
        <w:rPr>
          <w:lang w:eastAsia="en-SG"/>
        </w:rPr>
        <w:t>$125,000 in funding support for employers who offer part-time re-employment, flexible work arrangements and structured career planning (SCP) to senior workers. This will provide more flexible work options to attract and retain senior workers, and encourage them to stay in the workforce.</w:t>
      </w:r>
      <w:r w:rsidR="001A652D">
        <w:rPr>
          <w:lang w:eastAsia="en-SG"/>
        </w:rPr>
        <w:t xml:space="preserve"> </w:t>
      </w:r>
    </w:p>
    <w:p w14:paraId="331F22B2" w14:textId="56D9375B" w:rsidR="00126E58" w:rsidRDefault="0085494B" w:rsidP="00AA540F">
      <w:pPr>
        <w:jc w:val="both"/>
        <w:rPr>
          <w:rFonts w:cstheme="minorHAnsi"/>
          <w:lang w:eastAsia="en-SG"/>
        </w:rPr>
      </w:pPr>
      <w:r w:rsidRPr="0085494B">
        <w:rPr>
          <w:rFonts w:cstheme="minorHAnsi"/>
          <w:lang w:eastAsia="en-SG"/>
        </w:rPr>
        <w:t xml:space="preserve">Mature mid-career individuals aged 40 and above can also consider the </w:t>
      </w:r>
      <w:r w:rsidRPr="0085494B">
        <w:rPr>
          <w:rFonts w:cstheme="minorHAnsi"/>
          <w:bCs/>
          <w:lang w:eastAsia="en-SG"/>
        </w:rPr>
        <w:t>Mid-Career Pathways Programme</w:t>
      </w:r>
      <w:r w:rsidRPr="0085494B">
        <w:rPr>
          <w:rFonts w:cstheme="minorHAnsi"/>
          <w:b/>
          <w:lang w:eastAsia="en-SG"/>
        </w:rPr>
        <w:t xml:space="preserve"> </w:t>
      </w:r>
      <w:r w:rsidRPr="0085494B">
        <w:rPr>
          <w:rFonts w:cstheme="minorHAnsi"/>
          <w:lang w:eastAsia="en-SG"/>
        </w:rPr>
        <w:t xml:space="preserve">(MCPP), a full-time attachment programme </w:t>
      </w:r>
      <w:r w:rsidR="00895B90">
        <w:rPr>
          <w:rFonts w:cstheme="minorHAnsi"/>
          <w:lang w:eastAsia="en-SG"/>
        </w:rPr>
        <w:t>launched in 2020</w:t>
      </w:r>
      <w:r w:rsidRPr="0085494B">
        <w:rPr>
          <w:rFonts w:cstheme="minorHAnsi"/>
          <w:lang w:eastAsia="en-SG"/>
        </w:rPr>
        <w:t xml:space="preserve"> that allows individuals to widen their professional networks and gain meaningful industry-relevant skills and experience to facilitate their transition into full-time employment. Training allowance is co-funded by the Government during the attachment period and trainees will be emplaced in the host organi</w:t>
      </w:r>
      <w:r w:rsidR="00FA71E1">
        <w:rPr>
          <w:rFonts w:cstheme="minorHAnsi"/>
          <w:lang w:eastAsia="en-SG"/>
        </w:rPr>
        <w:t>s</w:t>
      </w:r>
      <w:r w:rsidRPr="0085494B">
        <w:rPr>
          <w:rFonts w:cstheme="minorHAnsi"/>
          <w:lang w:eastAsia="en-SG"/>
        </w:rPr>
        <w:t>ation at the end of the attachment if their performance is satisfactory.</w:t>
      </w:r>
    </w:p>
    <w:p w14:paraId="66599CF1" w14:textId="64E525B9" w:rsidR="002D229C" w:rsidRPr="0085494B" w:rsidRDefault="002D229C" w:rsidP="009E5B12">
      <w:pPr>
        <w:jc w:val="both"/>
        <w:rPr>
          <w:rFonts w:cstheme="minorHAnsi"/>
        </w:rPr>
      </w:pPr>
      <w:r>
        <w:t>The</w:t>
      </w:r>
      <w:r w:rsidRPr="0094488E">
        <w:t xml:space="preserve"> “Earn and</w:t>
      </w:r>
      <w:r>
        <w:t xml:space="preserve"> </w:t>
      </w:r>
      <w:r w:rsidRPr="0094488E">
        <w:t xml:space="preserve">Save” Bonus in the new </w:t>
      </w:r>
      <w:proofErr w:type="spellStart"/>
      <w:r w:rsidRPr="0094488E">
        <w:t>Majulah</w:t>
      </w:r>
      <w:proofErr w:type="spellEnd"/>
      <w:r>
        <w:t xml:space="preserve"> </w:t>
      </w:r>
      <w:r w:rsidRPr="0094488E">
        <w:t>Package</w:t>
      </w:r>
      <w:r>
        <w:t>, which will provide working seniors with an annual Central Provident Fund (CPF)</w:t>
      </w:r>
      <w:r>
        <w:rPr>
          <w:rStyle w:val="FootnoteReference"/>
        </w:rPr>
        <w:footnoteReference w:id="10"/>
      </w:r>
      <w:r>
        <w:t xml:space="preserve"> bonus of up to </w:t>
      </w:r>
      <w:r w:rsidR="007A778F">
        <w:t xml:space="preserve">SGD </w:t>
      </w:r>
      <w:r>
        <w:t>$1,000,</w:t>
      </w:r>
      <w:r w:rsidRPr="0094488E">
        <w:t xml:space="preserve"> will encourage more women in their 50s to join the</w:t>
      </w:r>
      <w:r>
        <w:t xml:space="preserve"> </w:t>
      </w:r>
      <w:r w:rsidRPr="0094488E">
        <w:t>workforce and improve their retirement adequacy</w:t>
      </w:r>
      <w:r>
        <w:t>.</w:t>
      </w:r>
    </w:p>
    <w:p w14:paraId="5880D519" w14:textId="46CBF9C5" w:rsidR="00584048" w:rsidRPr="00584048" w:rsidRDefault="00584048" w:rsidP="009E5B12">
      <w:pPr>
        <w:pStyle w:val="ListParagraph"/>
        <w:ind w:left="0"/>
        <w:jc w:val="both"/>
        <w:rPr>
          <w:rStyle w:val="A23"/>
          <w:rFonts w:cstheme="minorBidi"/>
          <w:color w:val="auto"/>
          <w:sz w:val="22"/>
          <w:szCs w:val="22"/>
        </w:rPr>
      </w:pPr>
      <w:r w:rsidRPr="00584048">
        <w:rPr>
          <w:rStyle w:val="A23"/>
          <w:rFonts w:cstheme="minorBidi"/>
          <w:color w:val="auto"/>
          <w:sz w:val="22"/>
          <w:szCs w:val="22"/>
        </w:rPr>
        <w:t>As part of broader efforts to support seniors’ participation in the workforce, the minimum statutory retirement and re-employment ages</w:t>
      </w:r>
      <w:r w:rsidR="008456E1">
        <w:rPr>
          <w:rStyle w:val="A23"/>
          <w:rFonts w:cstheme="minorBidi"/>
          <w:color w:val="auto"/>
          <w:sz w:val="22"/>
          <w:szCs w:val="22"/>
        </w:rPr>
        <w:t xml:space="preserve"> have been increased</w:t>
      </w:r>
      <w:r w:rsidRPr="00584048">
        <w:rPr>
          <w:rStyle w:val="A23"/>
          <w:rFonts w:cstheme="minorBidi"/>
          <w:color w:val="auto"/>
          <w:sz w:val="22"/>
          <w:szCs w:val="22"/>
        </w:rPr>
        <w:t xml:space="preserve"> to 63 and 68 respectively in 2022 and will </w:t>
      </w:r>
      <w:r w:rsidR="008456E1">
        <w:rPr>
          <w:rStyle w:val="A23"/>
          <w:rFonts w:cstheme="minorBidi"/>
          <w:color w:val="auto"/>
          <w:sz w:val="22"/>
          <w:szCs w:val="22"/>
        </w:rPr>
        <w:t xml:space="preserve">be </w:t>
      </w:r>
      <w:r w:rsidR="008456E1">
        <w:rPr>
          <w:rStyle w:val="A23"/>
          <w:rFonts w:cstheme="minorBidi"/>
          <w:color w:val="auto"/>
          <w:sz w:val="22"/>
          <w:szCs w:val="22"/>
        </w:rPr>
        <w:lastRenderedPageBreak/>
        <w:t>raised</w:t>
      </w:r>
      <w:r w:rsidRPr="00584048">
        <w:rPr>
          <w:rStyle w:val="A23"/>
          <w:rFonts w:cstheme="minorBidi"/>
          <w:color w:val="auto"/>
          <w:sz w:val="22"/>
          <w:szCs w:val="22"/>
        </w:rPr>
        <w:t xml:space="preserve"> further to 64 and 69 respectively in 2026. This will bring us another step closer to our eventual goal of setting retirement and re-employment ages at 65 and 70 respectively by 2030. </w:t>
      </w:r>
    </w:p>
    <w:p w14:paraId="617BF25A" w14:textId="77777777" w:rsidR="00584048" w:rsidRPr="00584048" w:rsidRDefault="00584048" w:rsidP="009E5B12">
      <w:pPr>
        <w:pStyle w:val="ListParagraph"/>
        <w:ind w:left="0"/>
        <w:jc w:val="both"/>
        <w:rPr>
          <w:rStyle w:val="A23"/>
          <w:rFonts w:cstheme="minorBidi"/>
          <w:color w:val="auto"/>
          <w:sz w:val="22"/>
          <w:szCs w:val="22"/>
        </w:rPr>
      </w:pPr>
    </w:p>
    <w:p w14:paraId="635346CB" w14:textId="672F0ED8" w:rsidR="00A35E6A" w:rsidRDefault="00584048" w:rsidP="00B50BEE">
      <w:pPr>
        <w:pStyle w:val="ListParagraph"/>
        <w:ind w:left="0"/>
        <w:jc w:val="both"/>
        <w:rPr>
          <w:rStyle w:val="A23"/>
          <w:rFonts w:cstheme="minorBidi"/>
          <w:color w:val="auto"/>
          <w:sz w:val="22"/>
          <w:szCs w:val="22"/>
        </w:rPr>
      </w:pPr>
      <w:r w:rsidRPr="00584048">
        <w:rPr>
          <w:rStyle w:val="A23"/>
          <w:rFonts w:cstheme="minorBidi"/>
          <w:color w:val="auto"/>
          <w:sz w:val="22"/>
          <w:szCs w:val="22"/>
        </w:rPr>
        <w:t xml:space="preserve">Under the Retirement and Re-employment Act, it is an offence for employers to dismiss senior workers on the grounds of age before the minimum statutory retirement age of 63. Employers must also offer re-employment to senior workers up to the age of 68 if they are medically fit and have satisfactory work performance. If employers are not able to offer re-employment to eligible </w:t>
      </w:r>
      <w:r w:rsidR="10A889E9" w:rsidRPr="266D048F">
        <w:rPr>
          <w:rStyle w:val="A23"/>
          <w:rFonts w:cstheme="minorBidi"/>
          <w:color w:val="auto"/>
          <w:sz w:val="22"/>
          <w:szCs w:val="22"/>
        </w:rPr>
        <w:t xml:space="preserve">senior </w:t>
      </w:r>
      <w:r w:rsidRPr="00584048">
        <w:rPr>
          <w:rStyle w:val="A23"/>
          <w:rFonts w:cstheme="minorBidi"/>
          <w:color w:val="auto"/>
          <w:sz w:val="22"/>
          <w:szCs w:val="22"/>
        </w:rPr>
        <w:t xml:space="preserve">workers, they must </w:t>
      </w:r>
      <w:r w:rsidR="1ADE8411" w:rsidRPr="266D048F">
        <w:rPr>
          <w:rStyle w:val="A23"/>
          <w:rFonts w:cstheme="minorBidi"/>
          <w:color w:val="auto"/>
          <w:sz w:val="22"/>
          <w:szCs w:val="22"/>
        </w:rPr>
        <w:t>provide</w:t>
      </w:r>
      <w:r w:rsidRPr="00584048">
        <w:rPr>
          <w:rStyle w:val="A23"/>
          <w:rFonts w:cstheme="minorBidi"/>
          <w:color w:val="auto"/>
          <w:sz w:val="22"/>
          <w:szCs w:val="22"/>
        </w:rPr>
        <w:t xml:space="preserve"> a one-off Employment Assistance Payment (EAP).</w:t>
      </w:r>
    </w:p>
    <w:p w14:paraId="46D98C97" w14:textId="77777777" w:rsidR="008B7FC8" w:rsidRDefault="008B7FC8" w:rsidP="00B50BEE">
      <w:pPr>
        <w:pStyle w:val="ListParagraph"/>
        <w:ind w:left="0"/>
        <w:jc w:val="both"/>
      </w:pPr>
    </w:p>
    <w:p w14:paraId="475A187E" w14:textId="16526856" w:rsidR="00A35E6A" w:rsidRPr="003D3473" w:rsidRDefault="00470E38" w:rsidP="00EA1097">
      <w:pPr>
        <w:pStyle w:val="Heading3"/>
        <w:rPr>
          <w:b/>
          <w:bCs/>
          <w:u w:val="single"/>
        </w:rPr>
      </w:pPr>
      <w:bookmarkStart w:id="17" w:name="_Toc169709880"/>
      <w:r>
        <w:rPr>
          <w:b/>
          <w:bCs/>
        </w:rPr>
        <w:t>B.</w:t>
      </w:r>
      <w:r>
        <w:rPr>
          <w:b/>
          <w:bCs/>
        </w:rPr>
        <w:tab/>
      </w:r>
      <w:r w:rsidR="00A35E6A" w:rsidRPr="003D3473">
        <w:rPr>
          <w:b/>
          <w:bCs/>
          <w:u w:val="single"/>
        </w:rPr>
        <w:t xml:space="preserve">Access to </w:t>
      </w:r>
      <w:r w:rsidR="00D123C1">
        <w:rPr>
          <w:b/>
          <w:bCs/>
          <w:u w:val="single"/>
        </w:rPr>
        <w:t>S</w:t>
      </w:r>
      <w:r w:rsidR="00A35E6A" w:rsidRPr="003D3473">
        <w:rPr>
          <w:b/>
          <w:bCs/>
          <w:u w:val="single"/>
        </w:rPr>
        <w:t xml:space="preserve">ocial </w:t>
      </w:r>
      <w:r w:rsidR="00D123C1">
        <w:rPr>
          <w:b/>
          <w:bCs/>
          <w:u w:val="single"/>
        </w:rPr>
        <w:t>S</w:t>
      </w:r>
      <w:r w:rsidR="00995B35">
        <w:rPr>
          <w:b/>
          <w:bCs/>
          <w:u w:val="single"/>
        </w:rPr>
        <w:t>upport</w:t>
      </w:r>
      <w:bookmarkEnd w:id="17"/>
    </w:p>
    <w:p w14:paraId="34263EEC" w14:textId="64BBC59D" w:rsidR="006825F1" w:rsidRDefault="00833EE9" w:rsidP="0051111B">
      <w:pPr>
        <w:jc w:val="both"/>
      </w:pPr>
      <w:r>
        <w:br/>
      </w:r>
      <w:r w:rsidR="00463CAA">
        <w:t xml:space="preserve">In Singapore, </w:t>
      </w:r>
      <w:r w:rsidR="00E61588">
        <w:t xml:space="preserve">like many other countries, the traditional pillars in </w:t>
      </w:r>
      <w:r w:rsidR="004974BA">
        <w:t>our</w:t>
      </w:r>
      <w:r w:rsidR="00E61588">
        <w:t xml:space="preserve"> social support system are education, housing, healthcare, work, and retirement. O</w:t>
      </w:r>
      <w:r w:rsidR="00463CAA">
        <w:t>ver the last twenty years, social spending by the Government has quadrupled. In Budget 2024, half of the total ministry expenditure is committed to social spending, and a substantial portion of this is spent on structural schemes</w:t>
      </w:r>
      <w:r w:rsidR="00A751F9">
        <w:t xml:space="preserve"> and not temporary measures.</w:t>
      </w:r>
      <w:r w:rsidR="00E61588">
        <w:t xml:space="preserve"> </w:t>
      </w:r>
    </w:p>
    <w:p w14:paraId="5D842DF2" w14:textId="3B24D928" w:rsidR="00483A12" w:rsidRPr="00FA68B9" w:rsidRDefault="00483A12" w:rsidP="00323694">
      <w:pPr>
        <w:jc w:val="both"/>
      </w:pPr>
      <w:r w:rsidRPr="00FA68B9">
        <w:t xml:space="preserve">To support cost-of-living, the </w:t>
      </w:r>
      <w:r w:rsidR="00F84DFE">
        <w:t>G</w:t>
      </w:r>
      <w:r w:rsidRPr="00FA68B9">
        <w:t>overnment has announced enhancement</w:t>
      </w:r>
      <w:r w:rsidR="0026136F">
        <w:t>s</w:t>
      </w:r>
      <w:r w:rsidRPr="00FA68B9">
        <w:t xml:space="preserve"> to the Assurance Package </w:t>
      </w:r>
      <w:r w:rsidR="004B558C">
        <w:t xml:space="preserve">at Budget 2024 </w:t>
      </w:r>
      <w:r w:rsidRPr="00FA68B9">
        <w:t>including:</w:t>
      </w:r>
    </w:p>
    <w:p w14:paraId="32E37601" w14:textId="5386534A" w:rsidR="00483A12" w:rsidRDefault="00483A12" w:rsidP="00323694">
      <w:pPr>
        <w:pStyle w:val="ListParagraph"/>
        <w:numPr>
          <w:ilvl w:val="0"/>
          <w:numId w:val="40"/>
        </w:numPr>
        <w:jc w:val="both"/>
      </w:pPr>
      <w:r w:rsidRPr="00FA68B9">
        <w:t xml:space="preserve">An additional </w:t>
      </w:r>
      <w:r w:rsidR="007A778F">
        <w:t xml:space="preserve">SGD </w:t>
      </w:r>
      <w:r w:rsidRPr="00FA68B9">
        <w:t xml:space="preserve">$600 in </w:t>
      </w:r>
      <w:r w:rsidR="0039548C">
        <w:t>Community Development Council (</w:t>
      </w:r>
      <w:r w:rsidRPr="00FA68B9">
        <w:t>CDC</w:t>
      </w:r>
      <w:r w:rsidR="0039548C">
        <w:t>)</w:t>
      </w:r>
      <w:r w:rsidRPr="00FA68B9">
        <w:t xml:space="preserve"> Vouchers for all Singaporean households</w:t>
      </w:r>
    </w:p>
    <w:p w14:paraId="5B32DD14" w14:textId="5553304F" w:rsidR="00483A12" w:rsidRDefault="00483A12" w:rsidP="00323694">
      <w:pPr>
        <w:pStyle w:val="ListParagraph"/>
        <w:numPr>
          <w:ilvl w:val="0"/>
          <w:numId w:val="40"/>
        </w:numPr>
        <w:jc w:val="both"/>
      </w:pPr>
      <w:r w:rsidRPr="00FA68B9">
        <w:t xml:space="preserve">Cost-of-Living Special Payment of between </w:t>
      </w:r>
      <w:r w:rsidR="007A778F">
        <w:t xml:space="preserve">SGD </w:t>
      </w:r>
      <w:r w:rsidRPr="00FA68B9">
        <w:t xml:space="preserve">$200 and </w:t>
      </w:r>
      <w:r w:rsidR="007A778F">
        <w:t xml:space="preserve">SGD </w:t>
      </w:r>
      <w:r w:rsidRPr="00FA68B9">
        <w:t xml:space="preserve">$400 in cash. This will be extended to adult Singaporeans with Assessable Income of up to </w:t>
      </w:r>
      <w:r w:rsidR="007A778F">
        <w:t xml:space="preserve">SGD </w:t>
      </w:r>
      <w:r w:rsidRPr="00FA68B9">
        <w:t>$100,000, and who do not own more than one property.</w:t>
      </w:r>
    </w:p>
    <w:p w14:paraId="49582481" w14:textId="61DE4F84" w:rsidR="00483A12" w:rsidRDefault="00483A12" w:rsidP="00323694">
      <w:pPr>
        <w:pStyle w:val="ListParagraph"/>
        <w:numPr>
          <w:ilvl w:val="0"/>
          <w:numId w:val="40"/>
        </w:numPr>
        <w:jc w:val="both"/>
      </w:pPr>
      <w:r>
        <w:t xml:space="preserve">An </w:t>
      </w:r>
      <w:r w:rsidRPr="00FA68B9">
        <w:t xml:space="preserve">additional one-off U-Save rebates to help </w:t>
      </w:r>
      <w:r w:rsidR="13724209">
        <w:t xml:space="preserve">Singaporean </w:t>
      </w:r>
      <w:r w:rsidRPr="00FA68B9">
        <w:t xml:space="preserve">households </w:t>
      </w:r>
      <w:r w:rsidR="796EFF62">
        <w:t xml:space="preserve">living in </w:t>
      </w:r>
      <w:r w:rsidR="005A3E9D">
        <w:t>Housing Development Board</w:t>
      </w:r>
      <w:r w:rsidR="796EFF62">
        <w:t xml:space="preserve"> </w:t>
      </w:r>
      <w:r w:rsidR="005A3E9D">
        <w:t>(</w:t>
      </w:r>
      <w:r w:rsidR="796EFF62">
        <w:t>HDB</w:t>
      </w:r>
      <w:r w:rsidR="005A3E9D">
        <w:t>)</w:t>
      </w:r>
      <w:r w:rsidR="796EFF62">
        <w:t xml:space="preserve"> flats</w:t>
      </w:r>
      <w:r>
        <w:t xml:space="preserve"> </w:t>
      </w:r>
      <w:r w:rsidRPr="00FA68B9">
        <w:t xml:space="preserve">cope with increases in their utility bills. In total, eligible HDB households can expect to receive two-and-a-half times the amount of regular U-Save rebates, or up to </w:t>
      </w:r>
      <w:r w:rsidR="007A778F">
        <w:t xml:space="preserve">SGD </w:t>
      </w:r>
      <w:r w:rsidRPr="00FA68B9">
        <w:t>$950, in FY2024. This will cover about four months of utility bills for those living in 3- and 4- room flats.</w:t>
      </w:r>
    </w:p>
    <w:p w14:paraId="557D3357" w14:textId="7105D5B8" w:rsidR="00483A12" w:rsidRPr="00FA68B9" w:rsidRDefault="00483A12" w:rsidP="00323694">
      <w:pPr>
        <w:pStyle w:val="ListParagraph"/>
        <w:numPr>
          <w:ilvl w:val="0"/>
          <w:numId w:val="40"/>
        </w:numPr>
        <w:jc w:val="both"/>
      </w:pPr>
      <w:r>
        <w:t>A</w:t>
      </w:r>
      <w:r w:rsidRPr="00FA68B9">
        <w:t xml:space="preserve">n additional one-off Service and Conservancy Charges (or S&amp;CC) Rebate for </w:t>
      </w:r>
      <w:r w:rsidR="5CCA97DE">
        <w:t xml:space="preserve">Singaporean households living in </w:t>
      </w:r>
      <w:r>
        <w:t>HDB flats.</w:t>
      </w:r>
      <w:r w:rsidRPr="00FA68B9">
        <w:t xml:space="preserve"> Together with the regular S&amp;CC rebates, eligible HDB households will receive up to four months of such rebates in FY2024.</w:t>
      </w:r>
    </w:p>
    <w:p w14:paraId="3F277F93" w14:textId="77777777" w:rsidR="00483A12" w:rsidRPr="00FA68B9" w:rsidRDefault="00483A12" w:rsidP="00323694">
      <w:pPr>
        <w:jc w:val="both"/>
      </w:pPr>
      <w:r w:rsidRPr="00FA68B9">
        <w:t>While the Package is available to all eligible Singaporean households, we have also ensured that larger households, particularly those with seniors and children, get more support. For example:</w:t>
      </w:r>
    </w:p>
    <w:p w14:paraId="6956049D" w14:textId="4D54ED07" w:rsidR="00483A12" w:rsidRPr="00FA68B9" w:rsidRDefault="00483A12" w:rsidP="00323694">
      <w:pPr>
        <w:pStyle w:val="ListParagraph"/>
        <w:numPr>
          <w:ilvl w:val="0"/>
          <w:numId w:val="41"/>
        </w:numPr>
        <w:jc w:val="both"/>
      </w:pPr>
      <w:r w:rsidRPr="00FA68B9">
        <w:t>A lower-income household of four, with two young children</w:t>
      </w:r>
      <w:r w:rsidR="00643658">
        <w:t xml:space="preserve"> living in a 3-room HDB flat</w:t>
      </w:r>
      <w:r w:rsidRPr="00FA68B9">
        <w:t xml:space="preserve">, will receive about </w:t>
      </w:r>
      <w:r w:rsidR="00AA6C0C">
        <w:t xml:space="preserve">SGD </w:t>
      </w:r>
      <w:r w:rsidRPr="00FA68B9">
        <w:t xml:space="preserve">$5,500 in benefits in FY2024. This comprises cash, </w:t>
      </w:r>
      <w:proofErr w:type="spellStart"/>
      <w:r w:rsidRPr="00FA68B9">
        <w:t>MediSave</w:t>
      </w:r>
      <w:proofErr w:type="spellEnd"/>
      <w:r w:rsidRPr="00FA68B9">
        <w:t xml:space="preserve"> top-ups, U-Save and S&amp;CC rebates, and CDC Vouchers.</w:t>
      </w:r>
    </w:p>
    <w:p w14:paraId="23FBEF8D" w14:textId="38DFD157" w:rsidR="00483A12" w:rsidRPr="00FA68B9" w:rsidRDefault="00483A12" w:rsidP="00323694">
      <w:pPr>
        <w:pStyle w:val="ListParagraph"/>
        <w:numPr>
          <w:ilvl w:val="0"/>
          <w:numId w:val="41"/>
        </w:numPr>
        <w:jc w:val="both"/>
      </w:pPr>
      <w:r w:rsidRPr="00FA68B9">
        <w:t>A middle-income household of four, with two young children</w:t>
      </w:r>
      <w:r w:rsidR="00AE1E72">
        <w:t xml:space="preserve"> living in a 4-room HDB flat</w:t>
      </w:r>
      <w:r w:rsidRPr="00FA68B9">
        <w:t xml:space="preserve">, will receive about </w:t>
      </w:r>
      <w:r w:rsidR="00AA6C0C">
        <w:t xml:space="preserve">SGD </w:t>
      </w:r>
      <w:r w:rsidRPr="00FA68B9">
        <w:t>$3,000 in benefits.</w:t>
      </w:r>
    </w:p>
    <w:p w14:paraId="1321B903" w14:textId="503F9E56" w:rsidR="00483A12" w:rsidRDefault="00483A12" w:rsidP="00323694">
      <w:pPr>
        <w:pStyle w:val="ListParagraph"/>
        <w:numPr>
          <w:ilvl w:val="0"/>
          <w:numId w:val="41"/>
        </w:numPr>
        <w:jc w:val="both"/>
      </w:pPr>
      <w:r w:rsidRPr="00FA68B9">
        <w:t>A middle-income household with six persons – a larger family – including two seniors and two young children</w:t>
      </w:r>
      <w:r w:rsidR="00202813">
        <w:t xml:space="preserve"> living in a 5-room HDB flat</w:t>
      </w:r>
      <w:r w:rsidRPr="00FA68B9">
        <w:t xml:space="preserve">, will receive about </w:t>
      </w:r>
      <w:r w:rsidR="00AA6C0C">
        <w:t xml:space="preserve">SGD </w:t>
      </w:r>
      <w:r w:rsidRPr="00FA68B9">
        <w:t>$8,000 in benefits.</w:t>
      </w:r>
    </w:p>
    <w:p w14:paraId="79F28503" w14:textId="214C7873" w:rsidR="00D02AA3" w:rsidRPr="00404EE0" w:rsidRDefault="00F160FC" w:rsidP="00323694">
      <w:pPr>
        <w:jc w:val="both"/>
      </w:pPr>
      <w:r>
        <w:t xml:space="preserve">The </w:t>
      </w:r>
      <w:r w:rsidR="001161DE">
        <w:t xml:space="preserve">Child Development Account (CDA) </w:t>
      </w:r>
      <w:r w:rsidR="00396A8F">
        <w:t>is a special co-savings account</w:t>
      </w:r>
      <w:r w:rsidR="00872175">
        <w:t>.</w:t>
      </w:r>
      <w:r w:rsidR="00B11867">
        <w:t xml:space="preserve"> When a CDA is opened at participating banks, the CDA First Step Grant will be automatically deposited into the CDA</w:t>
      </w:r>
      <w:r w:rsidR="00BD0955">
        <w:t xml:space="preserve"> and</w:t>
      </w:r>
      <w:r w:rsidR="008008CA">
        <w:t xml:space="preserve"> the </w:t>
      </w:r>
      <w:r w:rsidR="008008CA">
        <w:lastRenderedPageBreak/>
        <w:t>Government will co-match each dollar deposited into the CDA, up to the maximum Government co-matching cap.</w:t>
      </w:r>
      <w:r w:rsidR="000F0A1B">
        <w:t xml:space="preserve"> </w:t>
      </w:r>
      <w:r w:rsidR="00872175">
        <w:t>The Government also provides ad-hoc top-ups to the CDA, which children of unwed parents</w:t>
      </w:r>
      <w:r w:rsidR="006C0B61">
        <w:t xml:space="preserve"> are also eligible to receive. </w:t>
      </w:r>
      <w:r w:rsidR="000C7ABE">
        <w:t xml:space="preserve">Recent enhancements </w:t>
      </w:r>
      <w:r w:rsidR="004F7718" w:rsidRPr="00A623B1">
        <w:t>to the CDA, announced at Budget 2023, also apply to all parents, including single unwed parents.</w:t>
      </w:r>
      <w:r w:rsidR="00B2297D">
        <w:t xml:space="preserve"> </w:t>
      </w:r>
    </w:p>
    <w:p w14:paraId="3A92B6A0" w14:textId="5A78482A" w:rsidR="008256B3" w:rsidRDefault="00D14266" w:rsidP="008B7FC8">
      <w:pPr>
        <w:pStyle w:val="ListParagraph"/>
        <w:numPr>
          <w:ilvl w:val="0"/>
          <w:numId w:val="60"/>
        </w:numPr>
        <w:rPr>
          <w:b/>
          <w:bCs/>
        </w:rPr>
      </w:pPr>
      <w:r>
        <w:rPr>
          <w:b/>
          <w:bCs/>
        </w:rPr>
        <w:t xml:space="preserve">Strengthening </w:t>
      </w:r>
      <w:r w:rsidR="00A00C49">
        <w:rPr>
          <w:b/>
          <w:bCs/>
        </w:rPr>
        <w:t xml:space="preserve">social </w:t>
      </w:r>
      <w:r>
        <w:rPr>
          <w:b/>
          <w:bCs/>
        </w:rPr>
        <w:t>s</w:t>
      </w:r>
      <w:r w:rsidR="008256B3">
        <w:rPr>
          <w:b/>
          <w:bCs/>
        </w:rPr>
        <w:t xml:space="preserve">upport for </w:t>
      </w:r>
      <w:r w:rsidR="00CF5F93">
        <w:rPr>
          <w:b/>
          <w:bCs/>
        </w:rPr>
        <w:t xml:space="preserve">the </w:t>
      </w:r>
      <w:r w:rsidR="008256B3">
        <w:rPr>
          <w:b/>
          <w:bCs/>
        </w:rPr>
        <w:t>low</w:t>
      </w:r>
      <w:r w:rsidR="00F40F63">
        <w:rPr>
          <w:b/>
          <w:bCs/>
        </w:rPr>
        <w:t>er</w:t>
      </w:r>
      <w:r w:rsidR="008256B3">
        <w:rPr>
          <w:b/>
          <w:bCs/>
        </w:rPr>
        <w:t>-income</w:t>
      </w:r>
      <w:r w:rsidR="00F40F63">
        <w:rPr>
          <w:b/>
          <w:bCs/>
        </w:rPr>
        <w:t>, including</w:t>
      </w:r>
      <w:r w:rsidR="008256B3">
        <w:rPr>
          <w:b/>
          <w:bCs/>
        </w:rPr>
        <w:t xml:space="preserve"> women</w:t>
      </w:r>
    </w:p>
    <w:p w14:paraId="459DE614" w14:textId="52B9C014" w:rsidR="008256B3" w:rsidRPr="008256B3" w:rsidRDefault="00CD25BD" w:rsidP="0045392A">
      <w:pPr>
        <w:pStyle w:val="ListParagraph"/>
        <w:numPr>
          <w:ilvl w:val="0"/>
          <w:numId w:val="36"/>
        </w:numPr>
        <w:rPr>
          <w:i/>
          <w:iCs/>
        </w:rPr>
      </w:pPr>
      <w:proofErr w:type="spellStart"/>
      <w:r w:rsidRPr="008256B3">
        <w:rPr>
          <w:i/>
          <w:iCs/>
        </w:rPr>
        <w:t>Com</w:t>
      </w:r>
      <w:r>
        <w:rPr>
          <w:i/>
          <w:iCs/>
        </w:rPr>
        <w:t>C</w:t>
      </w:r>
      <w:r w:rsidRPr="008256B3">
        <w:rPr>
          <w:i/>
          <w:iCs/>
        </w:rPr>
        <w:t>are</w:t>
      </w:r>
      <w:proofErr w:type="spellEnd"/>
    </w:p>
    <w:p w14:paraId="591A55FD" w14:textId="143DD63A" w:rsidR="008256B3" w:rsidRPr="008256B3" w:rsidRDefault="008256B3" w:rsidP="00D02AA3">
      <w:pPr>
        <w:jc w:val="both"/>
      </w:pPr>
      <w:proofErr w:type="spellStart"/>
      <w:r w:rsidRPr="008256B3">
        <w:t>ComCare</w:t>
      </w:r>
      <w:proofErr w:type="spellEnd"/>
      <w:r w:rsidRPr="008256B3">
        <w:t xml:space="preserve"> supports lower-income households that need help with meeting their basic living expenses. It complements the role of the family and community, and is part of the multiple lines of assistance the Government provides to lower-income households. </w:t>
      </w:r>
    </w:p>
    <w:p w14:paraId="61714397" w14:textId="6B01296D" w:rsidR="008256B3" w:rsidRPr="008256B3" w:rsidRDefault="008256B3" w:rsidP="00D02AA3">
      <w:pPr>
        <w:jc w:val="both"/>
      </w:pPr>
      <w:proofErr w:type="spellStart"/>
      <w:r w:rsidRPr="008256B3">
        <w:t>ComCare</w:t>
      </w:r>
      <w:proofErr w:type="spellEnd"/>
      <w:r w:rsidRPr="008256B3">
        <w:t xml:space="preserve"> Short-to-Medium Term Assistance (SMTA)</w:t>
      </w:r>
      <w:r w:rsidR="005E4006">
        <w:t xml:space="preserve"> p</w:t>
      </w:r>
      <w:r w:rsidRPr="008256B3">
        <w:t>rovides temporary financial assistance for lower-income individuals or families who are temporarily unable to work, looking for a job or earning a low income and require assistance for basic living needs.</w:t>
      </w:r>
      <w:r w:rsidR="00110A9D">
        <w:t xml:space="preserve"> </w:t>
      </w:r>
      <w:r w:rsidRPr="008256B3">
        <w:t>Short-to-Medium-Term Assistance is typically granted for 3 to 6 months in the first instance, and renewed if the household continues to require support.</w:t>
      </w:r>
      <w:r w:rsidR="00110A9D">
        <w:t xml:space="preserve"> </w:t>
      </w:r>
      <w:r w:rsidR="00994EB7">
        <w:t xml:space="preserve">Among households </w:t>
      </w:r>
      <w:r w:rsidR="00326F04">
        <w:t>assisted with</w:t>
      </w:r>
      <w:r w:rsidR="00994EB7">
        <w:t xml:space="preserve"> SMTA in FY2022</w:t>
      </w:r>
      <w:r w:rsidR="009945FD">
        <w:t xml:space="preserve">, </w:t>
      </w:r>
      <w:r w:rsidRPr="008256B3">
        <w:t xml:space="preserve">48% of </w:t>
      </w:r>
      <w:r w:rsidR="009945FD">
        <w:t>the main applicants</w:t>
      </w:r>
      <w:r w:rsidR="00303267">
        <w:rPr>
          <w:rStyle w:val="FootnoteReference"/>
        </w:rPr>
        <w:footnoteReference w:id="11"/>
      </w:r>
      <w:r w:rsidR="009945FD">
        <w:t xml:space="preserve"> were female. </w:t>
      </w:r>
    </w:p>
    <w:p w14:paraId="26DB778E" w14:textId="4DCF7E3C" w:rsidR="008256B3" w:rsidRPr="008256B3" w:rsidRDefault="008256B3" w:rsidP="00D02AA3">
      <w:pPr>
        <w:jc w:val="both"/>
      </w:pPr>
      <w:proofErr w:type="spellStart"/>
      <w:r w:rsidRPr="008256B3">
        <w:t>ComCare</w:t>
      </w:r>
      <w:proofErr w:type="spellEnd"/>
      <w:r w:rsidRPr="008256B3">
        <w:t xml:space="preserve"> Long-Term Assistance (LTA)</w:t>
      </w:r>
      <w:r w:rsidR="00110A9D">
        <w:t xml:space="preserve"> p</w:t>
      </w:r>
      <w:r w:rsidRPr="008256B3">
        <w:t>rovides long-term support to those permanently unable to work due to old age, illness</w:t>
      </w:r>
      <w:r w:rsidR="00FB15BA" w:rsidRPr="008256B3">
        <w:t>,</w:t>
      </w:r>
      <w:r w:rsidRPr="008256B3">
        <w:t xml:space="preserve"> or disability, and have limited or no means of income and family support.</w:t>
      </w:r>
      <w:r w:rsidR="00110A9D">
        <w:t xml:space="preserve"> </w:t>
      </w:r>
      <w:r w:rsidR="00940A0F">
        <w:t xml:space="preserve">Among households </w:t>
      </w:r>
      <w:r w:rsidR="00326F04">
        <w:t>assisted with</w:t>
      </w:r>
      <w:r w:rsidR="00940A0F">
        <w:t xml:space="preserve"> LTA in FY2022, </w:t>
      </w:r>
      <w:r w:rsidRPr="008256B3">
        <w:t xml:space="preserve">34.2% of </w:t>
      </w:r>
      <w:r w:rsidR="00940A0F">
        <w:t>the main applicants were female.</w:t>
      </w:r>
      <w:r w:rsidRPr="008256B3">
        <w:t xml:space="preserve"> </w:t>
      </w:r>
    </w:p>
    <w:p w14:paraId="3817A6ED" w14:textId="426A00AC" w:rsidR="00323694" w:rsidRPr="008256B3" w:rsidRDefault="008256B3" w:rsidP="00D02AA3">
      <w:pPr>
        <w:jc w:val="both"/>
      </w:pPr>
      <w:proofErr w:type="spellStart"/>
      <w:r w:rsidRPr="008256B3">
        <w:t>ComCare</w:t>
      </w:r>
      <w:proofErr w:type="spellEnd"/>
      <w:r w:rsidRPr="008256B3">
        <w:t xml:space="preserve"> Interim Assistance (IA)</w:t>
      </w:r>
      <w:r w:rsidR="00110A9D">
        <w:t xml:space="preserve"> p</w:t>
      </w:r>
      <w:r w:rsidRPr="008256B3">
        <w:t>rovides immediate financial assistance for lower-income individuals or families who require urgent and temporary financial relief.</w:t>
      </w:r>
    </w:p>
    <w:p w14:paraId="4DF0630F" w14:textId="4A0BCA15" w:rsidR="008256B3" w:rsidRPr="009F57D8" w:rsidRDefault="009F57D8" w:rsidP="0045392A">
      <w:pPr>
        <w:pStyle w:val="ListParagraph"/>
        <w:numPr>
          <w:ilvl w:val="0"/>
          <w:numId w:val="36"/>
        </w:numPr>
        <w:rPr>
          <w:i/>
          <w:iCs/>
        </w:rPr>
      </w:pPr>
      <w:r w:rsidRPr="009F57D8">
        <w:rPr>
          <w:i/>
          <w:iCs/>
        </w:rPr>
        <w:t>Workfare Income Supplement Scheme (WIS)</w:t>
      </w:r>
    </w:p>
    <w:p w14:paraId="2EDBCA3E" w14:textId="4B11F0B9" w:rsidR="009F57D8" w:rsidRDefault="009F57D8" w:rsidP="009F57D8">
      <w:pPr>
        <w:spacing w:line="259" w:lineRule="auto"/>
        <w:contextualSpacing/>
        <w:jc w:val="both"/>
      </w:pPr>
      <w:r w:rsidRPr="0095762B">
        <w:t xml:space="preserve">The Workfare Income Supplement Scheme (WIS) encourages all lower wage workers, including women </w:t>
      </w:r>
      <w:r w:rsidR="6C28FF29">
        <w:t>and persons</w:t>
      </w:r>
      <w:r>
        <w:t xml:space="preserve"> </w:t>
      </w:r>
      <w:r w:rsidRPr="0095762B">
        <w:t xml:space="preserve">with disability, to work and build up their CPF savings by providing payouts of up to </w:t>
      </w:r>
      <w:r w:rsidR="00C70972">
        <w:t xml:space="preserve">SGD </w:t>
      </w:r>
      <w:r w:rsidRPr="0095762B">
        <w:t xml:space="preserve">$4,200 a year to top up their CPF savings and supplement their income in cash. </w:t>
      </w:r>
    </w:p>
    <w:p w14:paraId="3F0B70BF" w14:textId="77777777" w:rsidR="009F57D8" w:rsidRPr="0095762B" w:rsidRDefault="009F57D8" w:rsidP="009F57D8">
      <w:pPr>
        <w:spacing w:line="259" w:lineRule="auto"/>
        <w:contextualSpacing/>
        <w:jc w:val="both"/>
      </w:pPr>
    </w:p>
    <w:p w14:paraId="131C5043" w14:textId="5C80D259" w:rsidR="009F57D8" w:rsidRPr="00303267" w:rsidRDefault="009F57D8" w:rsidP="00303267">
      <w:pPr>
        <w:spacing w:line="259" w:lineRule="auto"/>
        <w:contextualSpacing/>
        <w:jc w:val="both"/>
        <w:rPr>
          <w:rFonts w:cs="Arial"/>
          <w:szCs w:val="24"/>
        </w:rPr>
      </w:pPr>
      <w:r w:rsidRPr="0095762B">
        <w:t xml:space="preserve">Workfare will be enhanced from 2025. Eligible persons with disabilities will continue to receive the highest tier of WIS payments, regardless of age. Workers earning less than </w:t>
      </w:r>
      <w:r>
        <w:t xml:space="preserve">SGD </w:t>
      </w:r>
      <w:r w:rsidRPr="0095762B">
        <w:t xml:space="preserve">$500 who are unable to work more due to their personal circumstances, including persons with disabilities, will qualify for WIS on a concessionary basis. </w:t>
      </w:r>
    </w:p>
    <w:p w14:paraId="64F4B348" w14:textId="379CF9FA" w:rsidR="00A977C8" w:rsidRPr="00A977C8" w:rsidRDefault="00A977C8" w:rsidP="006160F7">
      <w:pPr>
        <w:pStyle w:val="ListParagraph"/>
        <w:numPr>
          <w:ilvl w:val="0"/>
          <w:numId w:val="36"/>
        </w:numPr>
        <w:rPr>
          <w:i/>
          <w:iCs/>
        </w:rPr>
      </w:pPr>
      <w:proofErr w:type="spellStart"/>
      <w:r w:rsidRPr="00A977C8">
        <w:rPr>
          <w:i/>
          <w:iCs/>
        </w:rPr>
        <w:t>ComLink</w:t>
      </w:r>
      <w:proofErr w:type="spellEnd"/>
      <w:r w:rsidRPr="00A977C8">
        <w:rPr>
          <w:i/>
          <w:iCs/>
        </w:rPr>
        <w:t>+</w:t>
      </w:r>
    </w:p>
    <w:p w14:paraId="1A8EB257" w14:textId="035C3ADF" w:rsidR="00A977C8" w:rsidRPr="00A977C8" w:rsidRDefault="00A977C8" w:rsidP="00D02AA3">
      <w:pPr>
        <w:jc w:val="both"/>
      </w:pPr>
      <w:r w:rsidRPr="00A977C8">
        <w:t>Community Link (</w:t>
      </w:r>
      <w:proofErr w:type="spellStart"/>
      <w:r w:rsidRPr="00A977C8">
        <w:t>ComLink</w:t>
      </w:r>
      <w:proofErr w:type="spellEnd"/>
      <w:r w:rsidRPr="00A977C8">
        <w:t xml:space="preserve">) was rolled out nationwide in 2021 to uplift lower-income families with children towards </w:t>
      </w:r>
      <w:r w:rsidR="00357D72">
        <w:t>S</w:t>
      </w:r>
      <w:r w:rsidRPr="00A977C8">
        <w:t xml:space="preserve">tability, </w:t>
      </w:r>
      <w:r w:rsidR="00357D72">
        <w:t>S</w:t>
      </w:r>
      <w:r w:rsidRPr="00A977C8">
        <w:t xml:space="preserve">elf-reliance and </w:t>
      </w:r>
      <w:r w:rsidR="00357D72">
        <w:t>S</w:t>
      </w:r>
      <w:r w:rsidRPr="00A977C8">
        <w:t xml:space="preserve">ocial mobility (3S). To better enable </w:t>
      </w:r>
      <w:proofErr w:type="spellStart"/>
      <w:r w:rsidRPr="00A977C8">
        <w:t>ComLink</w:t>
      </w:r>
      <w:proofErr w:type="spellEnd"/>
      <w:r w:rsidRPr="00A977C8">
        <w:t xml:space="preserve"> families that are taking active steps to improve their lives to achieve the 3S outcomes, </w:t>
      </w:r>
      <w:proofErr w:type="spellStart"/>
      <w:r w:rsidRPr="00A977C8">
        <w:t>ComLink</w:t>
      </w:r>
      <w:proofErr w:type="spellEnd"/>
      <w:r w:rsidRPr="00A977C8">
        <w:t xml:space="preserve"> </w:t>
      </w:r>
      <w:r w:rsidR="00502E27">
        <w:t>was</w:t>
      </w:r>
      <w:r w:rsidRPr="00A977C8">
        <w:t xml:space="preserve"> enhanced (viz </w:t>
      </w:r>
      <w:proofErr w:type="spellStart"/>
      <w:r w:rsidRPr="00A977C8">
        <w:t>ComLink</w:t>
      </w:r>
      <w:proofErr w:type="spellEnd"/>
      <w:r w:rsidRPr="00A977C8">
        <w:t xml:space="preserve">+) and has been progressively rolled out nationwide since July 2023. </w:t>
      </w:r>
    </w:p>
    <w:p w14:paraId="6F5C7DA2" w14:textId="7BCDCC10" w:rsidR="00A977C8" w:rsidRPr="00A977C8" w:rsidRDefault="00A977C8" w:rsidP="00D02AA3">
      <w:pPr>
        <w:jc w:val="both"/>
      </w:pPr>
      <w:proofErr w:type="spellStart"/>
      <w:r w:rsidRPr="00A977C8">
        <w:t>ComLink</w:t>
      </w:r>
      <w:proofErr w:type="spellEnd"/>
      <w:r w:rsidRPr="00A977C8">
        <w:t xml:space="preserve">+ introduces the following enhancements: </w:t>
      </w:r>
    </w:p>
    <w:p w14:paraId="4A4C9B60" w14:textId="0F5F979F" w:rsidR="00A977C8" w:rsidRPr="00A977C8" w:rsidRDefault="00A977C8" w:rsidP="00323694">
      <w:pPr>
        <w:pStyle w:val="ListParagraph"/>
        <w:numPr>
          <w:ilvl w:val="0"/>
          <w:numId w:val="38"/>
        </w:numPr>
        <w:jc w:val="both"/>
      </w:pPr>
      <w:r w:rsidRPr="00A977C8">
        <w:t>Dedicated family coaches who will coach, motivate, and journey with families over the longer term</w:t>
      </w:r>
    </w:p>
    <w:p w14:paraId="77F17E86" w14:textId="32F018AF" w:rsidR="00A977C8" w:rsidRPr="00A977C8" w:rsidRDefault="00A977C8" w:rsidP="00323694">
      <w:pPr>
        <w:pStyle w:val="ListParagraph"/>
        <w:numPr>
          <w:ilvl w:val="0"/>
          <w:numId w:val="38"/>
        </w:numPr>
        <w:jc w:val="both"/>
      </w:pPr>
      <w:proofErr w:type="spellStart"/>
      <w:r w:rsidRPr="00A977C8">
        <w:lastRenderedPageBreak/>
        <w:t>ComLink</w:t>
      </w:r>
      <w:proofErr w:type="spellEnd"/>
      <w:r w:rsidRPr="00A977C8">
        <w:t>+ Progress Packages to give more support to those who do their part</w:t>
      </w:r>
    </w:p>
    <w:p w14:paraId="56C18DF3" w14:textId="3FCA7350" w:rsidR="00A977C8" w:rsidRPr="00A977C8" w:rsidRDefault="00A977C8" w:rsidP="00323694">
      <w:pPr>
        <w:pStyle w:val="ListParagraph"/>
        <w:numPr>
          <w:ilvl w:val="0"/>
          <w:numId w:val="38"/>
        </w:numPr>
        <w:jc w:val="both"/>
      </w:pPr>
      <w:r w:rsidRPr="00A977C8">
        <w:t>Extend support to selected families with children, not living in public rental housing</w:t>
      </w:r>
      <w:r w:rsidR="00E86937">
        <w:t xml:space="preserve">, facing similar challenges </w:t>
      </w:r>
      <w:r>
        <w:br/>
      </w:r>
    </w:p>
    <w:p w14:paraId="5A6F8A3A" w14:textId="389EF38B" w:rsidR="00A977C8" w:rsidRPr="00A977C8" w:rsidRDefault="00A977C8" w:rsidP="006160F7">
      <w:pPr>
        <w:pStyle w:val="ListParagraph"/>
        <w:numPr>
          <w:ilvl w:val="0"/>
          <w:numId w:val="36"/>
        </w:numPr>
        <w:rPr>
          <w:i/>
          <w:iCs/>
        </w:rPr>
      </w:pPr>
      <w:r w:rsidRPr="00A977C8">
        <w:rPr>
          <w:i/>
          <w:iCs/>
        </w:rPr>
        <w:t>Student Care Fee Assistance (SCFA)</w:t>
      </w:r>
    </w:p>
    <w:p w14:paraId="7841524B" w14:textId="5F4F8520" w:rsidR="00A977C8" w:rsidRPr="00A977C8" w:rsidRDefault="00A977C8" w:rsidP="00A977C8">
      <w:r w:rsidRPr="00A977C8">
        <w:t>Fee assistance for children from lower-income working families enrolled in MSF-registered Student Care Centres.</w:t>
      </w:r>
    </w:p>
    <w:p w14:paraId="7CFEF0AB" w14:textId="030DDDBF" w:rsidR="00A977C8" w:rsidRPr="00A977C8" w:rsidRDefault="00A977C8" w:rsidP="006160F7">
      <w:pPr>
        <w:pStyle w:val="ListParagraph"/>
        <w:numPr>
          <w:ilvl w:val="0"/>
          <w:numId w:val="36"/>
        </w:numPr>
        <w:rPr>
          <w:i/>
          <w:iCs/>
        </w:rPr>
      </w:pPr>
      <w:r w:rsidRPr="00A977C8">
        <w:rPr>
          <w:i/>
          <w:iCs/>
        </w:rPr>
        <w:t>Preschool Subsidies</w:t>
      </w:r>
    </w:p>
    <w:p w14:paraId="1AF09F0B" w14:textId="6DFFB276" w:rsidR="008F51DF" w:rsidRPr="008F51DF" w:rsidRDefault="008F51DF" w:rsidP="00D02AA3">
      <w:pPr>
        <w:jc w:val="both"/>
      </w:pPr>
      <w:r w:rsidRPr="008F51DF">
        <w:t>We are concerted in our efforts to support lower-income families, including to ensure that they can consistently afford to send their children to preschool by age 3. About 8 in 10 children aged 3 to 4 years old from lower-income families are enrolled in preschool, compared to the national average of about 9 in 10.</w:t>
      </w:r>
    </w:p>
    <w:p w14:paraId="1FD95C78" w14:textId="6AFBB3BF" w:rsidR="00565536" w:rsidRPr="00A977C8" w:rsidRDefault="00565536" w:rsidP="00D02AA3">
      <w:pPr>
        <w:jc w:val="both"/>
      </w:pPr>
      <w:r>
        <w:t>U</w:t>
      </w:r>
      <w:r w:rsidRPr="00A977C8">
        <w:t xml:space="preserve">niversal basic subsidies for childcare and infant care are available to all Singapore Citizen </w:t>
      </w:r>
      <w:r w:rsidR="000F0C65">
        <w:t>c</w:t>
      </w:r>
      <w:r w:rsidRPr="00A977C8">
        <w:t xml:space="preserve">hildren. Families with gross monthly household income of </w:t>
      </w:r>
      <w:r w:rsidR="008A6571">
        <w:t xml:space="preserve">SGD </w:t>
      </w:r>
      <w:r w:rsidRPr="00A977C8">
        <w:t xml:space="preserve">$12,000 and below can also receive means-tested additional subsidy, of up to </w:t>
      </w:r>
      <w:r w:rsidR="008A6571">
        <w:t xml:space="preserve">SGD </w:t>
      </w:r>
      <w:r w:rsidRPr="00A977C8">
        <w:t xml:space="preserve">$710 for infant care and up to </w:t>
      </w:r>
      <w:r w:rsidR="008A6571">
        <w:t xml:space="preserve">SGD </w:t>
      </w:r>
      <w:r w:rsidRPr="00A977C8">
        <w:t>$467 for childcare.</w:t>
      </w:r>
    </w:p>
    <w:p w14:paraId="7542FC3C" w14:textId="6A50A58A" w:rsidR="00323694" w:rsidRPr="008F51DF" w:rsidRDefault="00565536" w:rsidP="00D02AA3">
      <w:pPr>
        <w:jc w:val="both"/>
      </w:pPr>
      <w:r w:rsidRPr="00A977C8">
        <w:t xml:space="preserve">Starting from end-2024, all lower-income families with a gross monthly household income of </w:t>
      </w:r>
      <w:r w:rsidR="008A6571">
        <w:t xml:space="preserve">SGD </w:t>
      </w:r>
      <w:r w:rsidRPr="00A977C8">
        <w:t>$6,000 and below will qualify for the maximum childcare subsidies for their income tier</w:t>
      </w:r>
      <w:r>
        <w:t xml:space="preserve">. </w:t>
      </w:r>
      <w:r w:rsidR="35D5B6D7" w:rsidRPr="4E004E7B">
        <w:t>These f</w:t>
      </w:r>
      <w:r w:rsidRPr="008F51DF">
        <w:t xml:space="preserve">amilies will pay as low as </w:t>
      </w:r>
      <w:r w:rsidR="008A6571">
        <w:t xml:space="preserve">SGD </w:t>
      </w:r>
      <w:r w:rsidRPr="008F51DF">
        <w:t>$3 a month for full day childcare in a government-supported preschool</w:t>
      </w:r>
      <w:r>
        <w:t>.</w:t>
      </w:r>
    </w:p>
    <w:p w14:paraId="3296027C" w14:textId="7B7DA68B" w:rsidR="00A977C8" w:rsidRPr="00A977C8" w:rsidRDefault="00A977C8" w:rsidP="00C75C64">
      <w:pPr>
        <w:pStyle w:val="ListParagraph"/>
        <w:numPr>
          <w:ilvl w:val="0"/>
          <w:numId w:val="36"/>
        </w:numPr>
        <w:rPr>
          <w:i/>
          <w:iCs/>
        </w:rPr>
      </w:pPr>
      <w:proofErr w:type="spellStart"/>
      <w:r w:rsidRPr="00A977C8">
        <w:rPr>
          <w:i/>
          <w:iCs/>
        </w:rPr>
        <w:t>KidSTART</w:t>
      </w:r>
      <w:proofErr w:type="spellEnd"/>
    </w:p>
    <w:p w14:paraId="1486064A" w14:textId="573F2409" w:rsidR="00A977C8" w:rsidRPr="00A977C8" w:rsidRDefault="00A977C8" w:rsidP="00D02AA3">
      <w:pPr>
        <w:jc w:val="both"/>
      </w:pPr>
      <w:proofErr w:type="spellStart"/>
      <w:r w:rsidRPr="00A977C8">
        <w:t>KidSTART</w:t>
      </w:r>
      <w:proofErr w:type="spellEnd"/>
      <w:r w:rsidRPr="00A977C8">
        <w:t xml:space="preserve"> is a </w:t>
      </w:r>
      <w:r w:rsidR="71E6DE1D" w:rsidRPr="7E58B0FC">
        <w:t xml:space="preserve">nationwide </w:t>
      </w:r>
      <w:r w:rsidR="01E92584" w:rsidRPr="7E58B0FC">
        <w:t xml:space="preserve">programme </w:t>
      </w:r>
      <w:r w:rsidR="16BDE17C" w:rsidRPr="187E0025">
        <w:t>that supports</w:t>
      </w:r>
      <w:r w:rsidR="01E92584" w:rsidRPr="187E0025">
        <w:t xml:space="preserve"> </w:t>
      </w:r>
      <w:r w:rsidR="582AE65B" w:rsidRPr="1843B1A9">
        <w:t>low</w:t>
      </w:r>
      <w:r w:rsidR="395278DF" w:rsidRPr="1843B1A9">
        <w:t>er</w:t>
      </w:r>
      <w:r w:rsidRPr="00A977C8">
        <w:t xml:space="preserve">-income families </w:t>
      </w:r>
      <w:r w:rsidR="43243517" w:rsidRPr="187E0025">
        <w:t xml:space="preserve">with </w:t>
      </w:r>
      <w:r w:rsidR="43243517" w:rsidRPr="417B1B56">
        <w:t>children up to six years old</w:t>
      </w:r>
      <w:r w:rsidR="67D01FCE" w:rsidRPr="1843B1A9">
        <w:t>,</w:t>
      </w:r>
      <w:r w:rsidRPr="00A977C8">
        <w:t xml:space="preserve"> to enable </w:t>
      </w:r>
      <w:r w:rsidRPr="09A4ABC8">
        <w:t>the</w:t>
      </w:r>
      <w:r w:rsidR="531C3951" w:rsidRPr="09A4ABC8">
        <w:t>m</w:t>
      </w:r>
      <w:r w:rsidRPr="00A977C8">
        <w:t xml:space="preserve"> to have a good start in life. It supports parents with the knowledge and skills to nurture their children’s early development, including their physical and socio-emotional health and well-being, and works with community and corporate partners to support families holistically.</w:t>
      </w:r>
    </w:p>
    <w:p w14:paraId="74AC0205" w14:textId="568FA23B" w:rsidR="00A977C8" w:rsidRPr="00A977C8" w:rsidRDefault="00A977C8" w:rsidP="00C75C64">
      <w:pPr>
        <w:pStyle w:val="ListParagraph"/>
        <w:numPr>
          <w:ilvl w:val="0"/>
          <w:numId w:val="36"/>
        </w:numPr>
        <w:rPr>
          <w:i/>
          <w:iCs/>
        </w:rPr>
      </w:pPr>
      <w:r w:rsidRPr="00A977C8">
        <w:rPr>
          <w:i/>
          <w:iCs/>
        </w:rPr>
        <w:t>ProjectDian@M</w:t>
      </w:r>
      <w:r w:rsidRPr="00806F51">
        <w:rPr>
          <w:i/>
          <w:vertAlign w:val="superscript"/>
        </w:rPr>
        <w:t>3</w:t>
      </w:r>
      <w:r w:rsidRPr="00A977C8">
        <w:rPr>
          <w:i/>
          <w:iCs/>
        </w:rPr>
        <w:t xml:space="preserve"> </w:t>
      </w:r>
    </w:p>
    <w:p w14:paraId="6D893096" w14:textId="0FD40684" w:rsidR="00A977C8" w:rsidRPr="00A977C8" w:rsidRDefault="00A977C8" w:rsidP="00323694">
      <w:pPr>
        <w:jc w:val="both"/>
      </w:pPr>
      <w:r w:rsidRPr="00A977C8">
        <w:t>Project Dian@M</w:t>
      </w:r>
      <w:r w:rsidRPr="00806F51">
        <w:rPr>
          <w:vertAlign w:val="superscript"/>
        </w:rPr>
        <w:t>3</w:t>
      </w:r>
      <w:r w:rsidRPr="00A977C8">
        <w:t xml:space="preserve"> </w:t>
      </w:r>
      <w:r w:rsidR="009D3E16">
        <w:t xml:space="preserve">strengthens </w:t>
      </w:r>
      <w:r w:rsidRPr="00A977C8">
        <w:t>support</w:t>
      </w:r>
      <w:r w:rsidR="00B3523B">
        <w:t xml:space="preserve"> for</w:t>
      </w:r>
      <w:r w:rsidRPr="00A977C8">
        <w:t xml:space="preserve"> Malay/Muslim families living in public rental flats by connecting them with national and community initiatives.</w:t>
      </w:r>
    </w:p>
    <w:p w14:paraId="4C7BE3C1" w14:textId="69CABC32" w:rsidR="000C511E" w:rsidRPr="000C511E" w:rsidRDefault="000C511E" w:rsidP="00F80A61">
      <w:pPr>
        <w:pStyle w:val="ListParagraph"/>
        <w:numPr>
          <w:ilvl w:val="0"/>
          <w:numId w:val="60"/>
        </w:numPr>
        <w:rPr>
          <w:b/>
          <w:bCs/>
        </w:rPr>
      </w:pPr>
      <w:r w:rsidRPr="000C511E">
        <w:rPr>
          <w:b/>
          <w:bCs/>
        </w:rPr>
        <w:t>S</w:t>
      </w:r>
      <w:r w:rsidR="00D14266">
        <w:rPr>
          <w:b/>
          <w:bCs/>
        </w:rPr>
        <w:t xml:space="preserve">trengthening </w:t>
      </w:r>
      <w:r w:rsidR="00712654">
        <w:rPr>
          <w:b/>
          <w:bCs/>
        </w:rPr>
        <w:t xml:space="preserve">social </w:t>
      </w:r>
      <w:r w:rsidR="00D14266">
        <w:rPr>
          <w:b/>
          <w:bCs/>
        </w:rPr>
        <w:t>s</w:t>
      </w:r>
      <w:r w:rsidRPr="000C511E">
        <w:rPr>
          <w:b/>
          <w:bCs/>
        </w:rPr>
        <w:t xml:space="preserve">upport for older women </w:t>
      </w:r>
    </w:p>
    <w:p w14:paraId="482AFC2D" w14:textId="47DD4857" w:rsidR="000C511E" w:rsidRPr="000C511E" w:rsidRDefault="000C511E" w:rsidP="000C511E">
      <w:pPr>
        <w:pStyle w:val="ListParagraph"/>
        <w:spacing w:before="120" w:after="120"/>
        <w:ind w:left="0"/>
        <w:rPr>
          <w:rFonts w:cs="Arial"/>
          <w:color w:val="000000" w:themeColor="text1"/>
        </w:rPr>
      </w:pPr>
    </w:p>
    <w:p w14:paraId="46FE3BD7" w14:textId="6E1574B3" w:rsidR="008C55B9" w:rsidRPr="000C511E" w:rsidRDefault="008C55B9" w:rsidP="008722E4">
      <w:pPr>
        <w:pStyle w:val="ListParagraph"/>
        <w:spacing w:before="120" w:after="120"/>
        <w:ind w:left="0"/>
        <w:jc w:val="both"/>
        <w:rPr>
          <w:rFonts w:cs="Arial"/>
          <w:color w:val="000000" w:themeColor="text1"/>
        </w:rPr>
      </w:pPr>
      <w:r w:rsidRPr="000C511E">
        <w:rPr>
          <w:rFonts w:cs="Arial"/>
          <w:color w:val="000000" w:themeColor="text1"/>
        </w:rPr>
        <w:t xml:space="preserve">Singapore has measures in place to support seniors in meeting their basic retirement needs and building up their retirement savings through the CPF system and other targeted support measures. This includes non-working women who left the workforce due to caregiving responsibilities. The Government also supports seniors in other key areas of retirement. This can range from universal measures for all seniors, such as MediShield Life for healthcare, to targeted support schemes for seniors who need the most help, such as </w:t>
      </w:r>
      <w:proofErr w:type="spellStart"/>
      <w:r w:rsidRPr="000C511E">
        <w:rPr>
          <w:rFonts w:cs="Arial"/>
          <w:color w:val="000000" w:themeColor="text1"/>
        </w:rPr>
        <w:t>ComCare</w:t>
      </w:r>
      <w:proofErr w:type="spellEnd"/>
      <w:r w:rsidRPr="000C511E">
        <w:rPr>
          <w:rFonts w:cs="Arial"/>
          <w:color w:val="000000" w:themeColor="text1"/>
        </w:rPr>
        <w:t xml:space="preserve"> financial assistance and CHAS Blue for healthcare. All of these moves complement the support for women to return to the workforce.</w:t>
      </w:r>
    </w:p>
    <w:p w14:paraId="0BC61FC7" w14:textId="117E4EEB" w:rsidR="008F1405" w:rsidRDefault="008F1405" w:rsidP="008722E4">
      <w:pPr>
        <w:spacing w:before="120" w:after="120"/>
        <w:jc w:val="both"/>
        <w:rPr>
          <w:rFonts w:cs="Arial"/>
          <w:color w:val="000000" w:themeColor="text1"/>
        </w:rPr>
      </w:pPr>
      <w:r w:rsidRPr="008F1405">
        <w:rPr>
          <w:rFonts w:cs="Arial"/>
          <w:color w:val="000000" w:themeColor="text1"/>
        </w:rPr>
        <w:t>The Central Provident Fund (CPF) is a mandatory social security savings scheme for Singaporeans and Permanent Residents, which supports their retirement, healthcare</w:t>
      </w:r>
      <w:r w:rsidR="00FB15BA" w:rsidRPr="008F1405">
        <w:rPr>
          <w:rFonts w:cs="Arial"/>
          <w:color w:val="000000" w:themeColor="text1"/>
        </w:rPr>
        <w:t>,</w:t>
      </w:r>
      <w:r w:rsidRPr="008F1405">
        <w:rPr>
          <w:rFonts w:cs="Arial"/>
          <w:color w:val="000000" w:themeColor="text1"/>
        </w:rPr>
        <w:t xml:space="preserve"> and housing needs in Singapore. It is a key pillar of Singapore’s comprehensive social security system. The monthly CPF contributions made by Singaporeans and their employers over their working lives attract relatively high stable interest rates. The </w:t>
      </w:r>
      <w:r w:rsidRPr="008F1405">
        <w:rPr>
          <w:rFonts w:cs="Arial"/>
          <w:color w:val="000000" w:themeColor="text1"/>
        </w:rPr>
        <w:lastRenderedPageBreak/>
        <w:t>compounded savings form the bedrock of most Singaporeans’ retirement funds. The Government has also put in place measures to support seniors who need help in meeting their basic retirement needs, including caregivers who may not have consistently worked throughout their lives:</w:t>
      </w:r>
    </w:p>
    <w:p w14:paraId="62D9034B" w14:textId="18532277" w:rsidR="00143942" w:rsidRDefault="00143942" w:rsidP="0045392A">
      <w:pPr>
        <w:pStyle w:val="ListParagraph"/>
        <w:numPr>
          <w:ilvl w:val="0"/>
          <w:numId w:val="3"/>
        </w:numPr>
        <w:spacing w:line="259" w:lineRule="auto"/>
        <w:jc w:val="both"/>
      </w:pPr>
      <w:r w:rsidRPr="00143942">
        <w:t xml:space="preserve">Incentives are provided to encourage families to top up </w:t>
      </w:r>
      <w:proofErr w:type="spellStart"/>
      <w:r w:rsidRPr="00143942">
        <w:t>their</w:t>
      </w:r>
      <w:proofErr w:type="spellEnd"/>
      <w:r w:rsidRPr="00143942">
        <w:t xml:space="preserve"> and their loved ones’ CPF accounts through the CPF </w:t>
      </w:r>
      <w:r w:rsidRPr="00323694">
        <w:t>Retirement Sum Topping Up</w:t>
      </w:r>
      <w:r w:rsidRPr="00143942">
        <w:t xml:space="preserve"> (RSTU) Scheme. The Government enhanced the RSTU in 2022, increasing the tax relief cap for top-ups to self and loved ones from SGD $7,000 to $8,000.</w:t>
      </w:r>
    </w:p>
    <w:p w14:paraId="6AC6A167" w14:textId="46E6DFF5" w:rsidR="001D367B" w:rsidRDefault="001D367B" w:rsidP="0045392A">
      <w:pPr>
        <w:pStyle w:val="ListParagraph"/>
        <w:numPr>
          <w:ilvl w:val="0"/>
          <w:numId w:val="3"/>
        </w:numPr>
        <w:spacing w:line="259" w:lineRule="auto"/>
        <w:jc w:val="both"/>
      </w:pPr>
      <w:r w:rsidRPr="001D367B">
        <w:t xml:space="preserve">The </w:t>
      </w:r>
      <w:r w:rsidRPr="00323694">
        <w:t>Matched Retirement Savings Scheme</w:t>
      </w:r>
      <w:r w:rsidRPr="001D367B">
        <w:t xml:space="preserve"> (MRSS) also helps to boost the retirement savings of older Singapore Citizens, including caregivers, who have yet to accumulate the current Basic Retirement Sum in their CPF. The Government matches every dollar of cash top-up made to eligible members, up to an annual cap. MRSS will be enhanced in 2025. First, it will be extended to those above the age of 70 (in addition to those aged 55-70 today), to enable more Singaporeans to meet their retirement needs, with the help of their families, employers and the community. The annual matching cap will also be increased from SGD $600 to $2,000, with a lifetime matching cap of SGD $20,000.</w:t>
      </w:r>
    </w:p>
    <w:p w14:paraId="25320FF3" w14:textId="22033E87" w:rsidR="0082207C" w:rsidRDefault="0082207C" w:rsidP="0045392A">
      <w:pPr>
        <w:pStyle w:val="ListParagraph"/>
        <w:numPr>
          <w:ilvl w:val="0"/>
          <w:numId w:val="3"/>
        </w:numPr>
        <w:spacing w:line="259" w:lineRule="auto"/>
        <w:jc w:val="both"/>
      </w:pPr>
      <w:r w:rsidRPr="0082207C">
        <w:t xml:space="preserve">The </w:t>
      </w:r>
      <w:r w:rsidRPr="00323694">
        <w:t>Silver Support</w:t>
      </w:r>
      <w:r w:rsidRPr="0082207C">
        <w:t xml:space="preserve"> (SS) scheme provides quarterly cash supplements of up to SGD $900 to seniors who had low or no incomes during their working years and now have less retirement savings. About two-thirds of the SS recipients are women, including caregivers who were not able to work much when they were younger. SS will be enhanced in 2025 – the qualifying per capita household income threshold will be raised and quarterly payments will be raised by 20%.</w:t>
      </w:r>
    </w:p>
    <w:p w14:paraId="13409668" w14:textId="037B7ED6" w:rsidR="00342B7F" w:rsidRPr="0095762B" w:rsidRDefault="008C0773" w:rsidP="0045392A">
      <w:pPr>
        <w:pStyle w:val="ListParagraph"/>
        <w:numPr>
          <w:ilvl w:val="0"/>
          <w:numId w:val="3"/>
        </w:numPr>
        <w:spacing w:line="259" w:lineRule="auto"/>
        <w:jc w:val="both"/>
      </w:pPr>
      <w:r>
        <w:t>The</w:t>
      </w:r>
      <w:r w:rsidR="00204012">
        <w:t xml:space="preserve"> </w:t>
      </w:r>
      <w:proofErr w:type="spellStart"/>
      <w:r w:rsidR="00204012" w:rsidRPr="00323694">
        <w:t>Majulah</w:t>
      </w:r>
      <w:proofErr w:type="spellEnd"/>
      <w:r w:rsidR="00204012" w:rsidRPr="00323694">
        <w:t xml:space="preserve"> Package</w:t>
      </w:r>
      <w:r w:rsidR="00204012" w:rsidRPr="007601D7">
        <w:rPr>
          <w:b/>
        </w:rPr>
        <w:t xml:space="preserve"> </w:t>
      </w:r>
      <w:r>
        <w:rPr>
          <w:bCs/>
        </w:rPr>
        <w:t xml:space="preserve">will be introduced </w:t>
      </w:r>
      <w:r w:rsidR="00342B7F">
        <w:t>t</w:t>
      </w:r>
      <w:r w:rsidR="00342B7F" w:rsidRPr="0095762B">
        <w:t xml:space="preserve">o support Singaporeans born in 1973 and earlier to build up their retirement and healthcare adequacy. The Package has three components, which will be disbursed from end-2024 onwards: </w:t>
      </w:r>
    </w:p>
    <w:p w14:paraId="2FD6DF29" w14:textId="77777777" w:rsidR="00342B7F" w:rsidRPr="0095762B" w:rsidRDefault="00342B7F" w:rsidP="0045392A">
      <w:pPr>
        <w:pStyle w:val="ListParagraph"/>
        <w:numPr>
          <w:ilvl w:val="1"/>
          <w:numId w:val="3"/>
        </w:numPr>
        <w:spacing w:line="259" w:lineRule="auto"/>
        <w:jc w:val="both"/>
      </w:pPr>
      <w:r w:rsidRPr="0095762B">
        <w:t xml:space="preserve">A one-time </w:t>
      </w:r>
      <w:proofErr w:type="spellStart"/>
      <w:r w:rsidRPr="0095762B">
        <w:t>MediSave</w:t>
      </w:r>
      <w:proofErr w:type="spellEnd"/>
      <w:r w:rsidRPr="0095762B">
        <w:t xml:space="preserve"> Bonus of</w:t>
      </w:r>
      <w:r>
        <w:t xml:space="preserve"> SGD</w:t>
      </w:r>
      <w:r w:rsidRPr="0095762B">
        <w:t xml:space="preserve"> $1,500 or $750 for all seniors born in 1973 and earlier; </w:t>
      </w:r>
    </w:p>
    <w:p w14:paraId="613BF764" w14:textId="1AB1623B" w:rsidR="00342B7F" w:rsidRPr="00342B7F" w:rsidRDefault="00342B7F" w:rsidP="0045392A">
      <w:pPr>
        <w:pStyle w:val="ListParagraph"/>
        <w:numPr>
          <w:ilvl w:val="1"/>
          <w:numId w:val="3"/>
        </w:numPr>
        <w:spacing w:line="259" w:lineRule="auto"/>
        <w:jc w:val="both"/>
        <w:rPr>
          <w:bCs/>
        </w:rPr>
      </w:pPr>
      <w:r w:rsidRPr="00342B7F">
        <w:rPr>
          <w:bCs/>
        </w:rPr>
        <w:t xml:space="preserve">A one-time Retirement Savings Bonus of between SGD $1,000 to $1,500 for seniors with retirement savings below the Basic Retirement Sum; and </w:t>
      </w:r>
    </w:p>
    <w:p w14:paraId="548EACD1" w14:textId="5E5C521E" w:rsidR="00342B7F" w:rsidRPr="0095762B" w:rsidRDefault="00342B7F" w:rsidP="0045392A">
      <w:pPr>
        <w:pStyle w:val="ListParagraph"/>
        <w:numPr>
          <w:ilvl w:val="1"/>
          <w:numId w:val="3"/>
        </w:numPr>
        <w:spacing w:line="259" w:lineRule="auto"/>
        <w:jc w:val="both"/>
        <w:rPr>
          <w:i/>
          <w:iCs/>
        </w:rPr>
      </w:pPr>
      <w:r w:rsidRPr="00342B7F">
        <w:rPr>
          <w:bCs/>
        </w:rPr>
        <w:t>A yearly Earn and Save Bonus of up to SGD $1,000 for lower- to</w:t>
      </w:r>
      <w:r w:rsidRPr="0095762B">
        <w:t xml:space="preserve"> middle- income working seniors who earn up to </w:t>
      </w:r>
      <w:r>
        <w:t xml:space="preserve">SGD </w:t>
      </w:r>
      <w:r w:rsidRPr="0095762B">
        <w:t xml:space="preserve">$6,000 per month, with more going to those with lower incomes. </w:t>
      </w:r>
    </w:p>
    <w:p w14:paraId="0BB778C6" w14:textId="3FBB7B2F" w:rsidR="00CC7274" w:rsidRPr="00387240" w:rsidRDefault="00342B7F" w:rsidP="000F2628">
      <w:pPr>
        <w:pStyle w:val="ListParagraph"/>
        <w:numPr>
          <w:ilvl w:val="1"/>
          <w:numId w:val="3"/>
        </w:numPr>
        <w:spacing w:line="259" w:lineRule="auto"/>
        <w:jc w:val="both"/>
        <w:rPr>
          <w:i/>
          <w:iCs/>
        </w:rPr>
      </w:pPr>
      <w:r w:rsidRPr="0095762B">
        <w:t xml:space="preserve">Those who are not working, including caregivers, will benefit from the </w:t>
      </w:r>
      <w:proofErr w:type="spellStart"/>
      <w:r w:rsidRPr="0095762B">
        <w:t>MediSave</w:t>
      </w:r>
      <w:proofErr w:type="spellEnd"/>
      <w:r w:rsidRPr="0095762B">
        <w:t xml:space="preserve"> Bonus and Retirement Savings Bonus, as well as other support measures beyond the </w:t>
      </w:r>
      <w:proofErr w:type="spellStart"/>
      <w:r w:rsidRPr="0095762B">
        <w:t>Majulah</w:t>
      </w:r>
      <w:proofErr w:type="spellEnd"/>
      <w:r w:rsidRPr="0095762B">
        <w:t xml:space="preserve"> Package.</w:t>
      </w:r>
    </w:p>
    <w:p w14:paraId="416C2176" w14:textId="77777777" w:rsidR="00303267" w:rsidRPr="00303267" w:rsidRDefault="00303267" w:rsidP="00303267">
      <w:pPr>
        <w:pStyle w:val="ListParagraph"/>
        <w:spacing w:line="259" w:lineRule="auto"/>
        <w:ind w:left="1440"/>
        <w:jc w:val="both"/>
        <w:rPr>
          <w:i/>
        </w:rPr>
      </w:pPr>
    </w:p>
    <w:p w14:paraId="64BE90AC" w14:textId="77777777" w:rsidR="00303267" w:rsidRPr="00513FA2" w:rsidRDefault="00303267" w:rsidP="00303267">
      <w:pPr>
        <w:pStyle w:val="ListParagraph"/>
        <w:numPr>
          <w:ilvl w:val="0"/>
          <w:numId w:val="60"/>
        </w:numPr>
        <w:rPr>
          <w:b/>
          <w:bCs/>
        </w:rPr>
      </w:pPr>
      <w:r w:rsidRPr="00513FA2">
        <w:rPr>
          <w:b/>
          <w:bCs/>
        </w:rPr>
        <w:t>COVID-19</w:t>
      </w:r>
      <w:r>
        <w:rPr>
          <w:b/>
        </w:rPr>
        <w:t xml:space="preserve"> social </w:t>
      </w:r>
      <w:r>
        <w:rPr>
          <w:b/>
          <w:bCs/>
        </w:rPr>
        <w:t>support</w:t>
      </w:r>
      <w:r w:rsidRPr="00513FA2">
        <w:rPr>
          <w:b/>
          <w:bCs/>
        </w:rPr>
        <w:t xml:space="preserve"> measures </w:t>
      </w:r>
    </w:p>
    <w:p w14:paraId="7DC0FD82" w14:textId="77777777" w:rsidR="00303267" w:rsidRPr="00C835E4" w:rsidRDefault="00303267" w:rsidP="00303267">
      <w:pPr>
        <w:spacing w:line="259" w:lineRule="auto"/>
        <w:jc w:val="both"/>
        <w:rPr>
          <w:lang w:eastAsia="en-SG"/>
        </w:rPr>
      </w:pPr>
      <w:r w:rsidRPr="00C835E4">
        <w:rPr>
          <w:lang w:eastAsia="en-SG"/>
        </w:rPr>
        <w:t>The Government’s first priority was to minimise the social impact of COVID-19 on vulnerable segments of our population</w:t>
      </w:r>
      <w:r>
        <w:rPr>
          <w:lang w:eastAsia="en-SG"/>
        </w:rPr>
        <w:t>.</w:t>
      </w:r>
    </w:p>
    <w:p w14:paraId="6FCA5B0F" w14:textId="77777777" w:rsidR="00303267" w:rsidRPr="00C835E4" w:rsidRDefault="00303267" w:rsidP="00303267">
      <w:pPr>
        <w:spacing w:line="259" w:lineRule="auto"/>
        <w:jc w:val="both"/>
        <w:rPr>
          <w:lang w:eastAsia="en-SG"/>
        </w:rPr>
      </w:pPr>
      <w:r>
        <w:rPr>
          <w:lang w:eastAsia="en-SG"/>
        </w:rPr>
        <w:t>Temporary</w:t>
      </w:r>
      <w:r w:rsidRPr="00C835E4">
        <w:rPr>
          <w:lang w:eastAsia="en-SG"/>
        </w:rPr>
        <w:t xml:space="preserve"> assistance schemes, including the Temporary Relief Fund, COVID-19 Support Grant, Self-Employed Person Income Relief Scheme, Job Support Scheme</w:t>
      </w:r>
      <w:r>
        <w:rPr>
          <w:lang w:eastAsia="en-SG"/>
        </w:rPr>
        <w:t xml:space="preserve"> (JSS)</w:t>
      </w:r>
      <w:r w:rsidRPr="00C835E4">
        <w:rPr>
          <w:lang w:eastAsia="en-SG"/>
        </w:rPr>
        <w:t xml:space="preserve"> and Grocery Voucher schemes</w:t>
      </w:r>
      <w:r>
        <w:rPr>
          <w:lang w:eastAsia="en-SG"/>
        </w:rPr>
        <w:t xml:space="preserve">, were established. </w:t>
      </w:r>
      <w:r w:rsidRPr="00C835E4">
        <w:rPr>
          <w:lang w:eastAsia="en-SG"/>
        </w:rPr>
        <w:t xml:space="preserve">Beyond grants, more flexibility </w:t>
      </w:r>
      <w:r>
        <w:rPr>
          <w:lang w:eastAsia="en-SG"/>
        </w:rPr>
        <w:t xml:space="preserve">was also exercised </w:t>
      </w:r>
      <w:r w:rsidRPr="00C835E4">
        <w:rPr>
          <w:lang w:eastAsia="en-SG"/>
        </w:rPr>
        <w:t xml:space="preserve">in providing immediate assistance to affected individuals through the </w:t>
      </w:r>
      <w:proofErr w:type="spellStart"/>
      <w:r w:rsidRPr="00C835E4">
        <w:rPr>
          <w:lang w:eastAsia="en-SG"/>
        </w:rPr>
        <w:t>ComCare</w:t>
      </w:r>
      <w:proofErr w:type="spellEnd"/>
      <w:r w:rsidRPr="00C835E4">
        <w:rPr>
          <w:lang w:eastAsia="en-SG"/>
        </w:rPr>
        <w:t xml:space="preserve"> Interim Assistance, and lengthened the duration of </w:t>
      </w:r>
      <w:proofErr w:type="spellStart"/>
      <w:r w:rsidRPr="00C835E4">
        <w:rPr>
          <w:lang w:eastAsia="en-SG"/>
        </w:rPr>
        <w:t>ComCare</w:t>
      </w:r>
      <w:proofErr w:type="spellEnd"/>
      <w:r w:rsidRPr="00C835E4">
        <w:rPr>
          <w:lang w:eastAsia="en-SG"/>
        </w:rPr>
        <w:t xml:space="preserve"> Short-to-Medium</w:t>
      </w:r>
      <w:r>
        <w:rPr>
          <w:lang w:eastAsia="en-SG"/>
        </w:rPr>
        <w:t>-T</w:t>
      </w:r>
      <w:r w:rsidRPr="00C835E4">
        <w:rPr>
          <w:lang w:eastAsia="en-SG"/>
        </w:rPr>
        <w:t xml:space="preserve">erm </w:t>
      </w:r>
      <w:r>
        <w:rPr>
          <w:lang w:eastAsia="en-SG"/>
        </w:rPr>
        <w:t>A</w:t>
      </w:r>
      <w:r w:rsidRPr="00C835E4">
        <w:rPr>
          <w:lang w:eastAsia="en-SG"/>
        </w:rPr>
        <w:t>ssistance for households in need</w:t>
      </w:r>
      <w:r>
        <w:rPr>
          <w:lang w:eastAsia="en-SG"/>
        </w:rPr>
        <w:t>.</w:t>
      </w:r>
    </w:p>
    <w:p w14:paraId="411451F3" w14:textId="68444CA0" w:rsidR="00303267" w:rsidRPr="00D36F7F" w:rsidRDefault="00303267" w:rsidP="00303267">
      <w:pPr>
        <w:tabs>
          <w:tab w:val="left" w:pos="1414"/>
        </w:tabs>
        <w:spacing w:before="120" w:after="120" w:line="259" w:lineRule="auto"/>
        <w:jc w:val="both"/>
        <w:rPr>
          <w:rFonts w:cs="Arial"/>
          <w:szCs w:val="24"/>
          <w:lang w:eastAsia="en-SG"/>
        </w:rPr>
      </w:pPr>
      <w:r w:rsidRPr="00D36F7F">
        <w:rPr>
          <w:rFonts w:cs="Arial"/>
          <w:szCs w:val="24"/>
          <w:lang w:eastAsia="en-SG"/>
        </w:rPr>
        <w:lastRenderedPageBreak/>
        <w:t>More than</w:t>
      </w:r>
      <w:r w:rsidRPr="00D36F7F" w:rsidDel="003B4406">
        <w:rPr>
          <w:rFonts w:cs="Arial"/>
          <w:szCs w:val="24"/>
          <w:lang w:eastAsia="en-SG"/>
        </w:rPr>
        <w:t xml:space="preserve"> </w:t>
      </w:r>
      <w:r w:rsidRPr="00D36F7F">
        <w:rPr>
          <w:rFonts w:cs="Arial"/>
          <w:szCs w:val="24"/>
          <w:lang w:eastAsia="en-SG"/>
        </w:rPr>
        <w:t xml:space="preserve">480,000 Singapore residents were supported, </w:t>
      </w:r>
      <w:r w:rsidRPr="00D36F7F" w:rsidDel="003B4406">
        <w:rPr>
          <w:rFonts w:cs="Arial"/>
          <w:szCs w:val="24"/>
          <w:lang w:eastAsia="en-SG"/>
        </w:rPr>
        <w:t xml:space="preserve">with </w:t>
      </w:r>
      <w:r w:rsidRPr="00D36F7F">
        <w:rPr>
          <w:rFonts w:cs="Arial"/>
          <w:szCs w:val="24"/>
          <w:lang w:eastAsia="en-SG"/>
        </w:rPr>
        <w:t xml:space="preserve">around </w:t>
      </w:r>
      <w:r w:rsidR="004012AC">
        <w:rPr>
          <w:rFonts w:cs="Arial"/>
          <w:szCs w:val="24"/>
          <w:lang w:eastAsia="en-SG"/>
        </w:rPr>
        <w:t xml:space="preserve">SGD </w:t>
      </w:r>
      <w:r w:rsidRPr="00D36F7F">
        <w:rPr>
          <w:rFonts w:cs="Arial"/>
          <w:szCs w:val="24"/>
          <w:lang w:eastAsia="en-SG"/>
        </w:rPr>
        <w:t xml:space="preserve">$543 million </w:t>
      </w:r>
      <w:r>
        <w:rPr>
          <w:rFonts w:cs="Arial"/>
          <w:szCs w:val="24"/>
          <w:lang w:eastAsia="en-SG"/>
        </w:rPr>
        <w:t xml:space="preserve">disbursed </w:t>
      </w:r>
      <w:r w:rsidRPr="00D36F7F">
        <w:rPr>
          <w:rFonts w:cs="Arial"/>
          <w:szCs w:val="24"/>
          <w:lang w:eastAsia="en-SG"/>
        </w:rPr>
        <w:t>across various COVID-19 support schemes</w:t>
      </w:r>
      <w:r>
        <w:rPr>
          <w:rFonts w:cs="Arial"/>
          <w:szCs w:val="24"/>
          <w:lang w:eastAsia="en-SG"/>
        </w:rPr>
        <w:t xml:space="preserve"> -</w:t>
      </w:r>
      <w:r w:rsidRPr="00D36F7F">
        <w:rPr>
          <w:rFonts w:cs="Arial"/>
          <w:szCs w:val="24"/>
          <w:lang w:eastAsia="en-SG"/>
        </w:rPr>
        <w:t xml:space="preserve"> namely the Temporary Relief Fund, COVID-19 Support Grant, COVID-19 Recovery Grant – Temporary, and COVID-19 Recovery Grant.</w:t>
      </w:r>
    </w:p>
    <w:p w14:paraId="4398A8B9" w14:textId="2C558B9D" w:rsidR="00303267" w:rsidRPr="000E7C13" w:rsidRDefault="00303267" w:rsidP="00303267">
      <w:pPr>
        <w:tabs>
          <w:tab w:val="left" w:pos="1414"/>
        </w:tabs>
        <w:spacing w:before="120" w:after="120" w:line="259" w:lineRule="auto"/>
        <w:jc w:val="both"/>
        <w:rPr>
          <w:rFonts w:cs="Arial"/>
          <w:lang w:eastAsia="en-SG"/>
        </w:rPr>
      </w:pPr>
      <w:r w:rsidRPr="0771ECBF">
        <w:rPr>
          <w:rFonts w:cs="Arial"/>
          <w:lang w:eastAsia="en-SG"/>
        </w:rPr>
        <w:t xml:space="preserve">Singaporean households received about </w:t>
      </w:r>
      <w:r w:rsidR="004012AC">
        <w:rPr>
          <w:rFonts w:cs="Arial"/>
          <w:szCs w:val="24"/>
          <w:lang w:eastAsia="en-SG"/>
        </w:rPr>
        <w:t xml:space="preserve">SGD </w:t>
      </w:r>
      <w:r w:rsidRPr="0771ECBF">
        <w:rPr>
          <w:rFonts w:cs="Arial"/>
          <w:lang w:eastAsia="en-SG"/>
        </w:rPr>
        <w:t>$2,200 per member on average from COVID-19 schemes in 2020, with households in the lower income quintiles generally receiving more benefits compared to those in the upper income quintiles.</w:t>
      </w:r>
    </w:p>
    <w:p w14:paraId="528DAC0E" w14:textId="547E067B" w:rsidR="00303267" w:rsidRPr="00BA7905" w:rsidRDefault="00303267" w:rsidP="00303267">
      <w:pPr>
        <w:pStyle w:val="ListParagraph"/>
        <w:numPr>
          <w:ilvl w:val="0"/>
          <w:numId w:val="4"/>
        </w:numPr>
        <w:jc w:val="both"/>
      </w:pPr>
      <w:r w:rsidRPr="00BA7905">
        <w:t>Job</w:t>
      </w:r>
      <w:r>
        <w:t>s</w:t>
      </w:r>
      <w:r w:rsidRPr="00BA7905">
        <w:t xml:space="preserve"> Support Scheme</w:t>
      </w:r>
      <w:r>
        <w:t xml:space="preserve"> (JSS)</w:t>
      </w:r>
      <w:r>
        <w:rPr>
          <w:rStyle w:val="FootnoteReference"/>
        </w:rPr>
        <w:footnoteReference w:id="12"/>
      </w:r>
      <w:r w:rsidRPr="00BA7905">
        <w:t xml:space="preserve">: More than </w:t>
      </w:r>
      <w:r w:rsidR="004012AC">
        <w:rPr>
          <w:rFonts w:cs="Arial"/>
          <w:szCs w:val="24"/>
          <w:lang w:eastAsia="en-SG"/>
        </w:rPr>
        <w:t xml:space="preserve">SGD </w:t>
      </w:r>
      <w:r w:rsidRPr="00BA7905">
        <w:t>$28 billion was disbursed under the Jobs Support Scheme (JSS) from April 2020 to December 2021, which provided wage support for employers and helped them retain local employees during the pandemic.</w:t>
      </w:r>
    </w:p>
    <w:p w14:paraId="200E6FAD" w14:textId="46E6C264" w:rsidR="00303267" w:rsidRPr="005372BE" w:rsidRDefault="00303267" w:rsidP="00303267">
      <w:pPr>
        <w:pStyle w:val="ListParagraph"/>
        <w:numPr>
          <w:ilvl w:val="0"/>
          <w:numId w:val="4"/>
        </w:numPr>
        <w:jc w:val="both"/>
      </w:pPr>
      <w:r w:rsidRPr="00BA7905">
        <w:t>Self-employed persons (SEPs) whose livelihoods were affected by COVID-19 were supported through schemes including the SEP Income Relief Scheme (SIRS)</w:t>
      </w:r>
      <w:r>
        <w:rPr>
          <w:rStyle w:val="FootnoteReference"/>
        </w:rPr>
        <w:footnoteReference w:id="13"/>
      </w:r>
      <w:r w:rsidRPr="00BA7905">
        <w:t xml:space="preserve">. About </w:t>
      </w:r>
      <w:r w:rsidR="004012AC">
        <w:rPr>
          <w:rFonts w:cs="Arial"/>
          <w:szCs w:val="24"/>
          <w:lang w:eastAsia="en-SG"/>
        </w:rPr>
        <w:t>SGD</w:t>
      </w:r>
      <w:r>
        <w:rPr>
          <w:rFonts w:cs="Arial"/>
          <w:szCs w:val="24"/>
          <w:lang w:eastAsia="en-SG"/>
        </w:rPr>
        <w:t xml:space="preserve"> </w:t>
      </w:r>
      <w:r w:rsidRPr="00BA7905">
        <w:t>$1.8 billion was disbursed to over 200,000 SEPs under SIRS</w:t>
      </w:r>
      <w:r>
        <w:t>.</w:t>
      </w:r>
    </w:p>
    <w:p w14:paraId="79FA908C" w14:textId="7446730D" w:rsidR="00CF197D" w:rsidRPr="00323694" w:rsidRDefault="00303267" w:rsidP="00323694">
      <w:pPr>
        <w:pStyle w:val="ListParagraph"/>
        <w:numPr>
          <w:ilvl w:val="0"/>
          <w:numId w:val="4"/>
        </w:numPr>
        <w:jc w:val="both"/>
      </w:pPr>
      <w:r w:rsidRPr="007557A6">
        <w:t>Financing schemes were also introduced to support enterprises in accessing loans</w:t>
      </w:r>
      <w:r>
        <w:t xml:space="preserve">. </w:t>
      </w:r>
      <w:r w:rsidRPr="005372BE">
        <w:t xml:space="preserve">Altogether, the Temporary Bridging Loan Programme (TBL), Enterprise Financing Scheme – Working Capital Loan, and Enterprise Financing Scheme-Trade Loan supported over 27,000 enterprises in accessing loans of over </w:t>
      </w:r>
      <w:r w:rsidR="004012AC">
        <w:rPr>
          <w:rFonts w:cs="Arial"/>
          <w:szCs w:val="24"/>
          <w:lang w:eastAsia="en-SG"/>
        </w:rPr>
        <w:t xml:space="preserve">SGD </w:t>
      </w:r>
      <w:r w:rsidRPr="005372BE">
        <w:t>$24.7 billion over the period of March 2020 to December 2021.</w:t>
      </w:r>
    </w:p>
    <w:p w14:paraId="65AF9598" w14:textId="42F408C5" w:rsidR="00977AF0" w:rsidRPr="00C75C64" w:rsidRDefault="00026A2F" w:rsidP="00C75C64">
      <w:pPr>
        <w:pStyle w:val="Heading3"/>
        <w:numPr>
          <w:ilvl w:val="0"/>
          <w:numId w:val="45"/>
        </w:numPr>
        <w:rPr>
          <w:b/>
          <w:u w:val="single"/>
        </w:rPr>
      </w:pPr>
      <w:bookmarkStart w:id="18" w:name="_Toc169709881"/>
      <w:r w:rsidRPr="00C75C64">
        <w:rPr>
          <w:b/>
          <w:u w:val="single"/>
        </w:rPr>
        <w:t xml:space="preserve">Access to </w:t>
      </w:r>
      <w:r w:rsidR="00873881">
        <w:rPr>
          <w:b/>
          <w:u w:val="single"/>
        </w:rPr>
        <w:t>L</w:t>
      </w:r>
      <w:r w:rsidR="004C6756" w:rsidRPr="00C75C64">
        <w:rPr>
          <w:b/>
          <w:u w:val="single"/>
        </w:rPr>
        <w:t>ow-</w:t>
      </w:r>
      <w:r w:rsidR="00873881">
        <w:rPr>
          <w:b/>
          <w:u w:val="single"/>
        </w:rPr>
        <w:t>C</w:t>
      </w:r>
      <w:r w:rsidR="004C6756" w:rsidRPr="00C75C64">
        <w:rPr>
          <w:b/>
          <w:u w:val="single"/>
        </w:rPr>
        <w:t xml:space="preserve">ost </w:t>
      </w:r>
      <w:r w:rsidR="00873881">
        <w:rPr>
          <w:b/>
          <w:u w:val="single"/>
        </w:rPr>
        <w:t>L</w:t>
      </w:r>
      <w:r w:rsidR="004C6756" w:rsidRPr="00C75C64">
        <w:rPr>
          <w:b/>
          <w:u w:val="single"/>
        </w:rPr>
        <w:t xml:space="preserve">egal </w:t>
      </w:r>
      <w:r w:rsidR="00873881">
        <w:rPr>
          <w:b/>
          <w:u w:val="single"/>
        </w:rPr>
        <w:t>S</w:t>
      </w:r>
      <w:r w:rsidR="004C6756" w:rsidRPr="00C75C64">
        <w:rPr>
          <w:b/>
          <w:u w:val="single"/>
        </w:rPr>
        <w:t>ervices</w:t>
      </w:r>
      <w:bookmarkEnd w:id="18"/>
      <w:r w:rsidR="004C6756" w:rsidRPr="00C75C64">
        <w:rPr>
          <w:b/>
          <w:u w:val="single"/>
        </w:rPr>
        <w:t xml:space="preserve"> </w:t>
      </w:r>
    </w:p>
    <w:p w14:paraId="2F9F4C44" w14:textId="7B37B133" w:rsidR="00715432" w:rsidRDefault="00537A42" w:rsidP="00C75C64">
      <w:pPr>
        <w:pStyle w:val="ListParagraph"/>
        <w:ind w:left="0"/>
        <w:jc w:val="both"/>
      </w:pPr>
      <w:r>
        <w:br/>
      </w:r>
      <w:r w:rsidR="00FF4BB6">
        <w:t xml:space="preserve">Singapore is </w:t>
      </w:r>
      <w:r w:rsidR="00C072E6">
        <w:t xml:space="preserve">committed to </w:t>
      </w:r>
      <w:r w:rsidR="00E20DDD" w:rsidRPr="009C0942">
        <w:t xml:space="preserve">ensuring effective access to justice </w:t>
      </w:r>
      <w:r w:rsidR="00E20DDD">
        <w:t xml:space="preserve">and </w:t>
      </w:r>
      <w:r w:rsidR="00C072E6">
        <w:t xml:space="preserve">ensuring that all persons have adequate legal </w:t>
      </w:r>
      <w:r w:rsidR="00B10871">
        <w:t xml:space="preserve">advice and </w:t>
      </w:r>
      <w:r w:rsidR="00C072E6">
        <w:t>representation of good quality regardless of their financial status, gender or nationality</w:t>
      </w:r>
      <w:r w:rsidR="004E08AD">
        <w:t xml:space="preserve">. </w:t>
      </w:r>
    </w:p>
    <w:p w14:paraId="0D6104FB" w14:textId="1A997ABB" w:rsidR="00113A42" w:rsidRDefault="00715432" w:rsidP="00C75C64">
      <w:pPr>
        <w:pStyle w:val="ListParagraph"/>
        <w:ind w:left="0"/>
        <w:jc w:val="both"/>
      </w:pPr>
      <w:r>
        <w:t>For</w:t>
      </w:r>
      <w:r w:rsidR="00113A42">
        <w:t xml:space="preserve"> accused persons who are charged with a capital offence</w:t>
      </w:r>
      <w:r w:rsidR="008B2CD2">
        <w:t>,</w:t>
      </w:r>
      <w:r w:rsidR="00113A42">
        <w:t xml:space="preserve"> free legal counsel under the Legal Assistance Scheme for Capital Offences (“LASCO”), administered by the Supreme Court</w:t>
      </w:r>
      <w:r w:rsidR="002E3AAE">
        <w:t>, is available</w:t>
      </w:r>
      <w:r w:rsidR="008B2CD2">
        <w:t>.</w:t>
      </w:r>
      <w:r w:rsidR="00480A61">
        <w:t xml:space="preserve"> </w:t>
      </w:r>
      <w:r w:rsidR="00352E35">
        <w:t>T</w:t>
      </w:r>
      <w:r w:rsidR="00113A42">
        <w:t>here is no means test or eligibility criteria to satisfy</w:t>
      </w:r>
      <w:r w:rsidR="00352E35">
        <w:t xml:space="preserve"> for the </w:t>
      </w:r>
      <w:r w:rsidR="00E47CC5">
        <w:t>scheme</w:t>
      </w:r>
      <w:r w:rsidR="00683730">
        <w:t>.</w:t>
      </w:r>
    </w:p>
    <w:p w14:paraId="6400C1A1" w14:textId="77777777" w:rsidR="00113A42" w:rsidRDefault="00113A42" w:rsidP="00C75C64">
      <w:pPr>
        <w:pStyle w:val="ListParagraph"/>
        <w:ind w:left="0"/>
        <w:jc w:val="both"/>
      </w:pPr>
    </w:p>
    <w:p w14:paraId="725B255D" w14:textId="30B5C0DB" w:rsidR="00DE3144" w:rsidRDefault="00FE532D" w:rsidP="00C75C64">
      <w:pPr>
        <w:pStyle w:val="ListParagraph"/>
        <w:ind w:left="0"/>
        <w:jc w:val="both"/>
      </w:pPr>
      <w:r>
        <w:t>For women facin</w:t>
      </w:r>
      <w:r w:rsidR="00F65092">
        <w:t>g criminal charges which a</w:t>
      </w:r>
      <w:r w:rsidR="00B10871">
        <w:t>r</w:t>
      </w:r>
      <w:r w:rsidR="00F65092">
        <w:t xml:space="preserve">e not </w:t>
      </w:r>
      <w:r w:rsidR="006B7463">
        <w:t xml:space="preserve">punishable by capital punishment, </w:t>
      </w:r>
      <w:r w:rsidR="00B90D86">
        <w:t xml:space="preserve">if they </w:t>
      </w:r>
      <w:r w:rsidR="00113A42">
        <w:t>satisf</w:t>
      </w:r>
      <w:r w:rsidR="00B10871">
        <w:t>y</w:t>
      </w:r>
      <w:r w:rsidR="00113A42">
        <w:t xml:space="preserve"> the requisite means and merits tests, they have access to legal representation via the</w:t>
      </w:r>
      <w:r w:rsidR="00583327">
        <w:t xml:space="preserve"> </w:t>
      </w:r>
      <w:r w:rsidR="00113A42">
        <w:t>Public Defender’s Office</w:t>
      </w:r>
      <w:r w:rsidR="00C8680D">
        <w:t xml:space="preserve">, </w:t>
      </w:r>
      <w:r w:rsidR="0072751C">
        <w:t>a dep</w:t>
      </w:r>
      <w:r w:rsidR="00AC1BB0">
        <w:t xml:space="preserve">artment under the </w:t>
      </w:r>
      <w:r w:rsidR="00C131E7">
        <w:t xml:space="preserve">Ministry of Law. </w:t>
      </w:r>
    </w:p>
    <w:p w14:paraId="5BF38A04" w14:textId="77777777" w:rsidR="00DE3144" w:rsidRDefault="00DE3144" w:rsidP="00C75C64">
      <w:pPr>
        <w:pStyle w:val="ListParagraph"/>
        <w:ind w:left="0"/>
        <w:jc w:val="both"/>
      </w:pPr>
    </w:p>
    <w:p w14:paraId="23D5A686" w14:textId="6E2A4980" w:rsidR="004C6756" w:rsidRDefault="00113A42" w:rsidP="0015357B">
      <w:pPr>
        <w:pStyle w:val="ListParagraph"/>
        <w:ind w:left="0"/>
        <w:jc w:val="both"/>
      </w:pPr>
      <w:r>
        <w:t xml:space="preserve">For persons who do not qualify for aid with the Public Defender’s Office, they may </w:t>
      </w:r>
      <w:r w:rsidR="00A13F78">
        <w:t xml:space="preserve">also </w:t>
      </w:r>
      <w:r>
        <w:t>turn to the Criminal Legal Aid Scheme</w:t>
      </w:r>
      <w:r w:rsidR="00465AE2">
        <w:t xml:space="preserve"> (“CLAS”), administered </w:t>
      </w:r>
      <w:r>
        <w:t xml:space="preserve">Pro Bono SG, </w:t>
      </w:r>
      <w:r w:rsidR="00F04B8A">
        <w:t xml:space="preserve">which </w:t>
      </w:r>
      <w:r>
        <w:t xml:space="preserve">offers free legal counsel for those who are charged with certain non-capital offences. Under </w:t>
      </w:r>
      <w:r w:rsidR="00005B70">
        <w:t>CLAS</w:t>
      </w:r>
      <w:r>
        <w:t>, a volunteer lawyer is assigned to represent the person in court after they have passed the means and merits test.</w:t>
      </w:r>
    </w:p>
    <w:p w14:paraId="781E16E9" w14:textId="77777777" w:rsidR="00005B70" w:rsidRDefault="00005B70" w:rsidP="0015357B">
      <w:pPr>
        <w:pStyle w:val="ListParagraph"/>
        <w:ind w:left="0"/>
        <w:jc w:val="both"/>
      </w:pPr>
    </w:p>
    <w:p w14:paraId="710C84B0" w14:textId="5E669FE0" w:rsidR="00005B70" w:rsidRPr="004C6756" w:rsidRDefault="00005B70" w:rsidP="00C75C64">
      <w:pPr>
        <w:pStyle w:val="ListParagraph"/>
        <w:ind w:left="0"/>
        <w:jc w:val="both"/>
      </w:pPr>
      <w:r>
        <w:t>Applicants may also approach Pro Bono SG’s various Community Legal Clinics and Community Law Centres across Singapore for legal advice.</w:t>
      </w:r>
    </w:p>
    <w:p w14:paraId="3A35E61A" w14:textId="77777777" w:rsidR="00A13F78" w:rsidRPr="004C6756" w:rsidRDefault="00A13F78" w:rsidP="00C75C64">
      <w:pPr>
        <w:pStyle w:val="ListParagraph"/>
      </w:pPr>
    </w:p>
    <w:p w14:paraId="0F3E7833" w14:textId="70B8E757" w:rsidR="006F72E0" w:rsidRPr="00E33001" w:rsidRDefault="00873881" w:rsidP="006F72E0">
      <w:pPr>
        <w:pStyle w:val="Heading3"/>
        <w:rPr>
          <w:b/>
          <w:bCs/>
          <w:u w:val="single"/>
        </w:rPr>
      </w:pPr>
      <w:bookmarkStart w:id="19" w:name="_Toc169709882"/>
      <w:r>
        <w:rPr>
          <w:b/>
          <w:bCs/>
        </w:rPr>
        <w:lastRenderedPageBreak/>
        <w:t>D</w:t>
      </w:r>
      <w:r w:rsidR="000C511E">
        <w:rPr>
          <w:b/>
          <w:bCs/>
        </w:rPr>
        <w:t>.</w:t>
      </w:r>
      <w:r w:rsidR="000C511E">
        <w:rPr>
          <w:b/>
          <w:bCs/>
        </w:rPr>
        <w:tab/>
      </w:r>
      <w:r w:rsidR="00F50DC3" w:rsidRPr="00E33001">
        <w:rPr>
          <w:b/>
          <w:bCs/>
          <w:u w:val="single"/>
        </w:rPr>
        <w:t xml:space="preserve">Health </w:t>
      </w:r>
      <w:r>
        <w:rPr>
          <w:b/>
          <w:bCs/>
          <w:u w:val="single"/>
        </w:rPr>
        <w:t>O</w:t>
      </w:r>
      <w:r w:rsidR="00F50DC3" w:rsidRPr="00E33001">
        <w:rPr>
          <w:b/>
          <w:bCs/>
          <w:u w:val="single"/>
        </w:rPr>
        <w:t>utcomes</w:t>
      </w:r>
      <w:bookmarkEnd w:id="19"/>
    </w:p>
    <w:p w14:paraId="7EC9A9F1" w14:textId="5D0AC663" w:rsidR="004F7ACC" w:rsidRDefault="00537A42" w:rsidP="00323694">
      <w:pPr>
        <w:jc w:val="both"/>
        <w:rPr>
          <w:rFonts w:cs="Arial"/>
          <w:szCs w:val="24"/>
        </w:rPr>
      </w:pPr>
      <w:r>
        <w:rPr>
          <w:rFonts w:cs="Arial"/>
          <w:szCs w:val="24"/>
        </w:rPr>
        <w:br/>
      </w:r>
      <w:r w:rsidR="004F7ACC" w:rsidRPr="004F7ACC">
        <w:rPr>
          <w:rFonts w:cs="Arial"/>
          <w:szCs w:val="24"/>
        </w:rPr>
        <w:t>Women enjoy strong health outcomes in Singapore, along with high life expectancy</w:t>
      </w:r>
      <w:r w:rsidR="00C90180">
        <w:rPr>
          <w:rFonts w:cs="Arial"/>
          <w:szCs w:val="24"/>
        </w:rPr>
        <w:t xml:space="preserve"> (Table 6)</w:t>
      </w:r>
      <w:r w:rsidR="004F7ACC">
        <w:rPr>
          <w:rFonts w:cs="Arial"/>
          <w:szCs w:val="24"/>
        </w:rPr>
        <w:t>.</w:t>
      </w:r>
      <w:r w:rsidR="004F2E1F">
        <w:rPr>
          <w:rFonts w:cs="Arial"/>
          <w:szCs w:val="24"/>
        </w:rPr>
        <w:t xml:space="preserve"> We</w:t>
      </w:r>
      <w:r w:rsidR="004F2E1F" w:rsidRPr="009710F7">
        <w:rPr>
          <w:rFonts w:cs="Arial"/>
          <w:szCs w:val="24"/>
        </w:rPr>
        <w:t xml:space="preserve"> aim to provide quality medical services that are affordable for all Singaporeans, including women.</w:t>
      </w:r>
      <w:r w:rsidR="004F2E1F">
        <w:rPr>
          <w:rFonts w:cs="Arial"/>
          <w:szCs w:val="24"/>
        </w:rPr>
        <w:t xml:space="preserve"> </w:t>
      </w:r>
      <w:r w:rsidR="004F2E1F" w:rsidRPr="004F7ACC">
        <w:rPr>
          <w:rFonts w:cs="Arial"/>
          <w:szCs w:val="24"/>
        </w:rPr>
        <w:t>Healthcare services have been improved for different groups of women such as caregivers, mothers and the elderly</w:t>
      </w:r>
      <w:r w:rsidR="00457B18">
        <w:rPr>
          <w:rFonts w:cs="Arial"/>
          <w:szCs w:val="24"/>
        </w:rPr>
        <w:t>.</w:t>
      </w:r>
      <w:r w:rsidR="00572883">
        <w:rPr>
          <w:rFonts w:cs="Arial"/>
          <w:szCs w:val="24"/>
        </w:rPr>
        <w:t xml:space="preserve"> </w:t>
      </w:r>
      <w:r w:rsidR="00E978B1">
        <w:rPr>
          <w:rFonts w:cs="Arial"/>
          <w:szCs w:val="24"/>
        </w:rPr>
        <w:t>The government’s expenditure on health has also increased over the years (Table 7</w:t>
      </w:r>
      <w:r w:rsidR="00154FC9">
        <w:rPr>
          <w:rFonts w:cs="Arial"/>
          <w:szCs w:val="24"/>
        </w:rPr>
        <w:t>).</w:t>
      </w:r>
      <w:r w:rsidR="00E75212">
        <w:rPr>
          <w:rFonts w:cs="Arial"/>
          <w:szCs w:val="24"/>
        </w:rPr>
        <w:t xml:space="preserve"> </w:t>
      </w:r>
      <w:r w:rsidR="004F2E1F" w:rsidRPr="004F7ACC">
        <w:rPr>
          <w:rFonts w:cs="Arial"/>
          <w:szCs w:val="24"/>
        </w:rPr>
        <w:t>These</w:t>
      </w:r>
      <w:r w:rsidR="00FC3DF1">
        <w:rPr>
          <w:rFonts w:cs="Arial"/>
          <w:szCs w:val="24"/>
        </w:rPr>
        <w:t xml:space="preserve"> </w:t>
      </w:r>
      <w:r w:rsidR="00291C00">
        <w:rPr>
          <w:rFonts w:cs="Arial"/>
          <w:szCs w:val="24"/>
        </w:rPr>
        <w:t>efforts</w:t>
      </w:r>
      <w:r w:rsidR="004F2E1F" w:rsidRPr="004F7ACC">
        <w:rPr>
          <w:rFonts w:cs="Arial"/>
          <w:szCs w:val="24"/>
        </w:rPr>
        <w:t xml:space="preserve"> provide women greater opportunities and agency to achieve their aspirations.</w:t>
      </w:r>
    </w:p>
    <w:p w14:paraId="55699603" w14:textId="10E02B84" w:rsidR="001A12D8" w:rsidRPr="001A12D8" w:rsidRDefault="001A12D8" w:rsidP="007B75A7">
      <w:r w:rsidRPr="3D560E26">
        <w:rPr>
          <w:b/>
          <w:color w:val="000000" w:themeColor="text1"/>
        </w:rPr>
        <w:t xml:space="preserve">Table </w:t>
      </w:r>
      <w:r w:rsidR="00E227C1" w:rsidRPr="3D560E26">
        <w:rPr>
          <w:b/>
          <w:color w:val="000000" w:themeColor="text1"/>
        </w:rPr>
        <w:t>6</w:t>
      </w:r>
      <w:r w:rsidRPr="3D560E26">
        <w:rPr>
          <w:b/>
          <w:color w:val="000000" w:themeColor="text1"/>
        </w:rPr>
        <w:t>: Life Expectancy at Birth for Women/Maternal Mortality Rate (201</w:t>
      </w:r>
      <w:r w:rsidR="00031AC1" w:rsidRPr="3D560E26">
        <w:rPr>
          <w:b/>
          <w:color w:val="000000" w:themeColor="text1"/>
        </w:rPr>
        <w:t>8</w:t>
      </w:r>
      <w:r w:rsidRPr="3D560E26">
        <w:rPr>
          <w:b/>
          <w:color w:val="000000" w:themeColor="text1"/>
        </w:rPr>
        <w:t xml:space="preserve"> – </w:t>
      </w:r>
      <w:r w:rsidRPr="3D560E26">
        <w:rPr>
          <w:b/>
          <w:bCs/>
          <w:color w:val="000000" w:themeColor="text1"/>
        </w:rPr>
        <w:t>202</w:t>
      </w:r>
      <w:r w:rsidR="02137A01" w:rsidRPr="3D560E26">
        <w:rPr>
          <w:b/>
          <w:bCs/>
          <w:color w:val="000000" w:themeColor="text1"/>
        </w:rPr>
        <w:t>3</w:t>
      </w:r>
      <w:r w:rsidRPr="3D560E26">
        <w:rPr>
          <w:b/>
          <w:color w:val="000000" w:themeColor="text1"/>
        </w:rPr>
        <w:t>)</w:t>
      </w:r>
    </w:p>
    <w:tbl>
      <w:tblPr>
        <w:tblW w:w="916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134"/>
        <w:gridCol w:w="1137"/>
        <w:gridCol w:w="1080"/>
        <w:gridCol w:w="990"/>
        <w:gridCol w:w="1170"/>
      </w:tblGrid>
      <w:tr w:rsidR="001F6A68" w:rsidRPr="001A12D8" w14:paraId="424D371F" w14:textId="57EEEE38" w:rsidTr="00741502">
        <w:trPr>
          <w:trHeight w:val="250"/>
        </w:trPr>
        <w:tc>
          <w:tcPr>
            <w:tcW w:w="2518" w:type="dxa"/>
          </w:tcPr>
          <w:p w14:paraId="1225110D" w14:textId="262325A5" w:rsidR="001A12D8" w:rsidRPr="001A12D8" w:rsidRDefault="001A12D8" w:rsidP="001A12D8">
            <w:pPr>
              <w:autoSpaceDE w:val="0"/>
              <w:autoSpaceDN w:val="0"/>
              <w:adjustRightInd w:val="0"/>
              <w:spacing w:after="0" w:line="240" w:lineRule="auto"/>
              <w:rPr>
                <w:rFonts w:cstheme="minorHAnsi"/>
                <w:color w:val="000000"/>
              </w:rPr>
            </w:pPr>
            <w:r w:rsidRPr="001A12D8">
              <w:rPr>
                <w:rFonts w:cstheme="minorHAnsi"/>
                <w:b/>
                <w:bCs/>
                <w:color w:val="000000"/>
              </w:rPr>
              <w:t xml:space="preserve">Life Expectancy at Birth for Women/ Maternal Mortality Rate </w:t>
            </w:r>
          </w:p>
        </w:tc>
        <w:tc>
          <w:tcPr>
            <w:tcW w:w="1134" w:type="dxa"/>
          </w:tcPr>
          <w:p w14:paraId="330BEA81" w14:textId="1094DCC1" w:rsidR="001A12D8" w:rsidRPr="001A12D8" w:rsidRDefault="00031AC1" w:rsidP="001A12D8">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18</w:t>
            </w:r>
          </w:p>
        </w:tc>
        <w:tc>
          <w:tcPr>
            <w:tcW w:w="1134" w:type="dxa"/>
          </w:tcPr>
          <w:p w14:paraId="6B3014FA" w14:textId="3F9A2688" w:rsidR="001A12D8" w:rsidRPr="001A12D8" w:rsidRDefault="00031AC1" w:rsidP="001A12D8">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19</w:t>
            </w:r>
          </w:p>
        </w:tc>
        <w:tc>
          <w:tcPr>
            <w:tcW w:w="1137" w:type="dxa"/>
          </w:tcPr>
          <w:p w14:paraId="2EA1AAEA" w14:textId="7C261162" w:rsidR="001A12D8" w:rsidRPr="001A12D8" w:rsidRDefault="00031AC1" w:rsidP="001A12D8">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2</w:t>
            </w:r>
            <w:r w:rsidRPr="001A12D8">
              <w:rPr>
                <w:rFonts w:cstheme="minorHAnsi"/>
                <w:b/>
                <w:bCs/>
                <w:color w:val="000000"/>
              </w:rPr>
              <w:t xml:space="preserve">0 </w:t>
            </w:r>
          </w:p>
        </w:tc>
        <w:tc>
          <w:tcPr>
            <w:tcW w:w="1080" w:type="dxa"/>
          </w:tcPr>
          <w:p w14:paraId="0B26A2A9" w14:textId="5484D27F" w:rsidR="001A12D8" w:rsidRPr="001A12D8" w:rsidRDefault="00031AC1" w:rsidP="001A12D8">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2</w:t>
            </w:r>
            <w:r w:rsidRPr="001A12D8">
              <w:rPr>
                <w:rFonts w:cstheme="minorHAnsi"/>
                <w:b/>
                <w:bCs/>
                <w:color w:val="000000"/>
              </w:rPr>
              <w:t xml:space="preserve">1 </w:t>
            </w:r>
          </w:p>
        </w:tc>
        <w:tc>
          <w:tcPr>
            <w:tcW w:w="990" w:type="dxa"/>
          </w:tcPr>
          <w:p w14:paraId="643AE417" w14:textId="494C5554" w:rsidR="001A12D8" w:rsidRPr="001A12D8" w:rsidRDefault="00031AC1" w:rsidP="001A12D8">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2</w:t>
            </w:r>
            <w:r w:rsidRPr="001A12D8">
              <w:rPr>
                <w:rFonts w:cstheme="minorHAnsi"/>
                <w:b/>
                <w:bCs/>
                <w:color w:val="000000"/>
              </w:rPr>
              <w:t xml:space="preserve">2 </w:t>
            </w:r>
          </w:p>
        </w:tc>
        <w:tc>
          <w:tcPr>
            <w:tcW w:w="1170" w:type="dxa"/>
          </w:tcPr>
          <w:p w14:paraId="045A68ED" w14:textId="2AB5B13E" w:rsidR="00BC046C" w:rsidRDefault="00BC046C" w:rsidP="001A12D8">
            <w:pPr>
              <w:autoSpaceDE w:val="0"/>
              <w:autoSpaceDN w:val="0"/>
              <w:adjustRightInd w:val="0"/>
              <w:spacing w:after="0" w:line="240" w:lineRule="auto"/>
              <w:rPr>
                <w:rFonts w:cstheme="minorHAnsi"/>
                <w:b/>
                <w:bCs/>
                <w:color w:val="000000"/>
              </w:rPr>
            </w:pPr>
            <w:r>
              <w:rPr>
                <w:rFonts w:cstheme="minorHAnsi"/>
                <w:b/>
                <w:bCs/>
                <w:color w:val="000000"/>
              </w:rPr>
              <w:t>2023</w:t>
            </w:r>
          </w:p>
        </w:tc>
      </w:tr>
      <w:tr w:rsidR="001F6A68" w:rsidRPr="001A12D8" w14:paraId="6AEFF1FA" w14:textId="4B8EAF8B" w:rsidTr="00741502">
        <w:trPr>
          <w:trHeight w:val="112"/>
        </w:trPr>
        <w:tc>
          <w:tcPr>
            <w:tcW w:w="2518" w:type="dxa"/>
          </w:tcPr>
          <w:p w14:paraId="27488844" w14:textId="30C442EB" w:rsidR="001A12D8" w:rsidRPr="001A12D8" w:rsidRDefault="00BC046C" w:rsidP="001A12D8">
            <w:pPr>
              <w:autoSpaceDE w:val="0"/>
              <w:autoSpaceDN w:val="0"/>
              <w:adjustRightInd w:val="0"/>
              <w:spacing w:after="0" w:line="240" w:lineRule="auto"/>
              <w:rPr>
                <w:rFonts w:cstheme="minorHAnsi"/>
                <w:color w:val="000000"/>
              </w:rPr>
            </w:pPr>
            <w:r>
              <w:rPr>
                <w:rFonts w:cstheme="minorHAnsi"/>
                <w:color w:val="000000"/>
              </w:rPr>
              <w:t xml:space="preserve">Female </w:t>
            </w:r>
            <w:r w:rsidR="001A12D8" w:rsidRPr="001A12D8">
              <w:rPr>
                <w:rFonts w:cstheme="minorHAnsi"/>
                <w:color w:val="000000"/>
              </w:rPr>
              <w:t xml:space="preserve">Life Expectancy at Birth (Years) </w:t>
            </w:r>
          </w:p>
        </w:tc>
        <w:tc>
          <w:tcPr>
            <w:tcW w:w="1134" w:type="dxa"/>
          </w:tcPr>
          <w:p w14:paraId="24A050AD" w14:textId="37794266" w:rsidR="001A12D8" w:rsidRPr="001A12D8" w:rsidRDefault="000C2FA0" w:rsidP="001A12D8">
            <w:pPr>
              <w:autoSpaceDE w:val="0"/>
              <w:autoSpaceDN w:val="0"/>
              <w:adjustRightInd w:val="0"/>
              <w:spacing w:after="0" w:line="240" w:lineRule="auto"/>
              <w:rPr>
                <w:rFonts w:cstheme="minorHAnsi"/>
                <w:color w:val="000000"/>
              </w:rPr>
            </w:pPr>
            <w:r w:rsidRPr="007A49B1">
              <w:rPr>
                <w:rFonts w:cstheme="minorHAnsi"/>
                <w:color w:val="000000"/>
              </w:rPr>
              <w:t>85.</w:t>
            </w:r>
            <w:r w:rsidR="00031AC1" w:rsidRPr="007A49B1">
              <w:rPr>
                <w:rFonts w:cstheme="minorHAnsi"/>
                <w:color w:val="000000"/>
              </w:rPr>
              <w:t>5</w:t>
            </w:r>
          </w:p>
        </w:tc>
        <w:tc>
          <w:tcPr>
            <w:tcW w:w="1134" w:type="dxa"/>
          </w:tcPr>
          <w:p w14:paraId="3543CAA0" w14:textId="463CF9EB" w:rsidR="001A12D8" w:rsidRPr="001A12D8" w:rsidRDefault="00D37436" w:rsidP="001A12D8">
            <w:pPr>
              <w:autoSpaceDE w:val="0"/>
              <w:autoSpaceDN w:val="0"/>
              <w:adjustRightInd w:val="0"/>
              <w:spacing w:after="0" w:line="240" w:lineRule="auto"/>
              <w:rPr>
                <w:rFonts w:cstheme="minorHAnsi"/>
                <w:color w:val="000000"/>
              </w:rPr>
            </w:pPr>
            <w:r w:rsidRPr="007A49B1">
              <w:rPr>
                <w:rFonts w:cstheme="minorHAnsi"/>
                <w:color w:val="000000"/>
              </w:rPr>
              <w:t>85.9</w:t>
            </w:r>
            <w:r w:rsidR="00031AC1" w:rsidRPr="001A12D8">
              <w:rPr>
                <w:rFonts w:cstheme="minorHAnsi"/>
                <w:color w:val="000000"/>
              </w:rPr>
              <w:t xml:space="preserve"> </w:t>
            </w:r>
          </w:p>
        </w:tc>
        <w:tc>
          <w:tcPr>
            <w:tcW w:w="1137" w:type="dxa"/>
          </w:tcPr>
          <w:p w14:paraId="04C1246F" w14:textId="0F696FEC" w:rsidR="001A12D8" w:rsidRPr="001A12D8" w:rsidRDefault="00204AC9" w:rsidP="001A12D8">
            <w:pPr>
              <w:autoSpaceDE w:val="0"/>
              <w:autoSpaceDN w:val="0"/>
              <w:adjustRightInd w:val="0"/>
              <w:spacing w:after="0" w:line="240" w:lineRule="auto"/>
              <w:rPr>
                <w:rFonts w:cstheme="minorHAnsi"/>
                <w:color w:val="000000"/>
              </w:rPr>
            </w:pPr>
            <w:r w:rsidRPr="007A49B1">
              <w:rPr>
                <w:rFonts w:cstheme="minorHAnsi"/>
                <w:color w:val="000000"/>
              </w:rPr>
              <w:t>85.</w:t>
            </w:r>
            <w:r w:rsidR="00031AC1" w:rsidRPr="007A49B1">
              <w:rPr>
                <w:rFonts w:cstheme="minorHAnsi"/>
                <w:color w:val="000000"/>
              </w:rPr>
              <w:t>9</w:t>
            </w:r>
          </w:p>
        </w:tc>
        <w:tc>
          <w:tcPr>
            <w:tcW w:w="1080" w:type="dxa"/>
          </w:tcPr>
          <w:p w14:paraId="009F74AB" w14:textId="5F05E636" w:rsidR="001A12D8" w:rsidRPr="001A12D8" w:rsidRDefault="00204AC9" w:rsidP="001A12D8">
            <w:pPr>
              <w:autoSpaceDE w:val="0"/>
              <w:autoSpaceDN w:val="0"/>
              <w:adjustRightInd w:val="0"/>
              <w:spacing w:after="0" w:line="240" w:lineRule="auto"/>
              <w:rPr>
                <w:rFonts w:cstheme="minorHAnsi"/>
                <w:color w:val="000000"/>
              </w:rPr>
            </w:pPr>
            <w:r w:rsidRPr="007A49B1">
              <w:rPr>
                <w:rFonts w:cstheme="minorHAnsi"/>
                <w:color w:val="000000"/>
              </w:rPr>
              <w:t>85.</w:t>
            </w:r>
            <w:r w:rsidR="00031AC1" w:rsidRPr="007A49B1">
              <w:rPr>
                <w:rFonts w:cstheme="minorHAnsi"/>
                <w:color w:val="000000"/>
              </w:rPr>
              <w:t>5</w:t>
            </w:r>
          </w:p>
        </w:tc>
        <w:tc>
          <w:tcPr>
            <w:tcW w:w="990" w:type="dxa"/>
          </w:tcPr>
          <w:p w14:paraId="004B7C65" w14:textId="203CC2AB" w:rsidR="001A12D8" w:rsidRPr="001A12D8" w:rsidRDefault="00031AC1" w:rsidP="001A12D8">
            <w:pPr>
              <w:autoSpaceDE w:val="0"/>
              <w:autoSpaceDN w:val="0"/>
              <w:adjustRightInd w:val="0"/>
              <w:spacing w:after="0" w:line="240" w:lineRule="auto"/>
              <w:rPr>
                <w:rFonts w:cstheme="minorHAnsi"/>
                <w:color w:val="000000"/>
              </w:rPr>
            </w:pPr>
            <w:r w:rsidRPr="007A49B1">
              <w:rPr>
                <w:rFonts w:cstheme="minorHAnsi"/>
                <w:color w:val="000000"/>
              </w:rPr>
              <w:t>85.2</w:t>
            </w:r>
          </w:p>
        </w:tc>
        <w:tc>
          <w:tcPr>
            <w:tcW w:w="1170" w:type="dxa"/>
          </w:tcPr>
          <w:p w14:paraId="71ABC306" w14:textId="025894C9" w:rsidR="00772FFA" w:rsidRDefault="00772FFA" w:rsidP="001A12D8">
            <w:pPr>
              <w:autoSpaceDE w:val="0"/>
              <w:autoSpaceDN w:val="0"/>
              <w:adjustRightInd w:val="0"/>
              <w:spacing w:after="0" w:line="240" w:lineRule="auto"/>
              <w:rPr>
                <w:color w:val="000000"/>
              </w:rPr>
            </w:pPr>
            <w:r w:rsidRPr="3D560E26">
              <w:rPr>
                <w:color w:val="000000" w:themeColor="text1"/>
              </w:rPr>
              <w:t>85.2</w:t>
            </w:r>
          </w:p>
          <w:p w14:paraId="60CA2D02" w14:textId="6B233ED4" w:rsidR="00772FFA" w:rsidRPr="3F9B764E" w:rsidRDefault="00772FFA" w:rsidP="001A12D8">
            <w:pPr>
              <w:autoSpaceDE w:val="0"/>
              <w:autoSpaceDN w:val="0"/>
              <w:adjustRightInd w:val="0"/>
              <w:spacing w:after="0" w:line="240" w:lineRule="auto"/>
              <w:rPr>
                <w:color w:val="000000" w:themeColor="text1"/>
              </w:rPr>
            </w:pPr>
          </w:p>
        </w:tc>
      </w:tr>
      <w:tr w:rsidR="001F6A68" w:rsidRPr="001A12D8" w14:paraId="5A849209" w14:textId="07076988" w:rsidTr="00741502">
        <w:trPr>
          <w:trHeight w:val="250"/>
        </w:trPr>
        <w:tc>
          <w:tcPr>
            <w:tcW w:w="2518" w:type="dxa"/>
          </w:tcPr>
          <w:p w14:paraId="1222ED82" w14:textId="77E3A093" w:rsidR="001A12D8" w:rsidRPr="001A12D8" w:rsidRDefault="001A12D8" w:rsidP="001A12D8">
            <w:pPr>
              <w:autoSpaceDE w:val="0"/>
              <w:autoSpaceDN w:val="0"/>
              <w:adjustRightInd w:val="0"/>
              <w:spacing w:after="0" w:line="240" w:lineRule="auto"/>
              <w:rPr>
                <w:rFonts w:cstheme="minorHAnsi"/>
                <w:color w:val="000000"/>
              </w:rPr>
            </w:pPr>
            <w:r w:rsidRPr="001A12D8">
              <w:rPr>
                <w:rFonts w:cstheme="minorHAnsi"/>
                <w:color w:val="000000"/>
              </w:rPr>
              <w:t xml:space="preserve">Maternal Mortality Rate (per 100,000 Live Births) </w:t>
            </w:r>
          </w:p>
        </w:tc>
        <w:tc>
          <w:tcPr>
            <w:tcW w:w="1134" w:type="dxa"/>
          </w:tcPr>
          <w:p w14:paraId="60FE4E98" w14:textId="7294280E" w:rsidR="001A12D8" w:rsidRPr="001A12D8" w:rsidRDefault="00031AC1" w:rsidP="001A12D8">
            <w:pPr>
              <w:autoSpaceDE w:val="0"/>
              <w:autoSpaceDN w:val="0"/>
              <w:adjustRightInd w:val="0"/>
              <w:spacing w:after="0" w:line="240" w:lineRule="auto"/>
              <w:rPr>
                <w:rFonts w:cstheme="minorHAnsi"/>
                <w:color w:val="000000"/>
              </w:rPr>
            </w:pPr>
            <w:r w:rsidRPr="007A49B1">
              <w:rPr>
                <w:rFonts w:cstheme="minorHAnsi"/>
                <w:color w:val="000000"/>
              </w:rPr>
              <w:t>10</w:t>
            </w:r>
          </w:p>
        </w:tc>
        <w:tc>
          <w:tcPr>
            <w:tcW w:w="1134" w:type="dxa"/>
          </w:tcPr>
          <w:p w14:paraId="171A0A2B" w14:textId="0D01D727" w:rsidR="001A12D8" w:rsidRPr="001A12D8" w:rsidRDefault="00AA14EE" w:rsidP="001A12D8">
            <w:pPr>
              <w:autoSpaceDE w:val="0"/>
              <w:autoSpaceDN w:val="0"/>
              <w:adjustRightInd w:val="0"/>
              <w:spacing w:after="0" w:line="240" w:lineRule="auto"/>
              <w:rPr>
                <w:rFonts w:cstheme="minorHAnsi"/>
                <w:color w:val="000000"/>
              </w:rPr>
            </w:pPr>
            <w:r>
              <w:rPr>
                <w:rFonts w:cstheme="minorHAnsi"/>
                <w:color w:val="000000"/>
              </w:rPr>
              <w:t>3</w:t>
            </w:r>
          </w:p>
        </w:tc>
        <w:tc>
          <w:tcPr>
            <w:tcW w:w="1137" w:type="dxa"/>
          </w:tcPr>
          <w:p w14:paraId="5D04CB24" w14:textId="62BDDF26" w:rsidR="001A12D8" w:rsidRPr="001A12D8" w:rsidRDefault="00031AC1" w:rsidP="001A12D8">
            <w:pPr>
              <w:autoSpaceDE w:val="0"/>
              <w:autoSpaceDN w:val="0"/>
              <w:adjustRightInd w:val="0"/>
              <w:spacing w:after="0" w:line="240" w:lineRule="auto"/>
              <w:rPr>
                <w:rFonts w:cstheme="minorHAnsi"/>
                <w:color w:val="000000"/>
              </w:rPr>
            </w:pPr>
            <w:r w:rsidRPr="007A49B1">
              <w:rPr>
                <w:rFonts w:cstheme="minorHAnsi"/>
                <w:color w:val="000000"/>
              </w:rPr>
              <w:t>0</w:t>
            </w:r>
          </w:p>
        </w:tc>
        <w:tc>
          <w:tcPr>
            <w:tcW w:w="1080" w:type="dxa"/>
          </w:tcPr>
          <w:p w14:paraId="1BF214C6" w14:textId="2C889B6D" w:rsidR="001A12D8" w:rsidRPr="001A12D8" w:rsidRDefault="00AA14EE" w:rsidP="001A12D8">
            <w:pPr>
              <w:autoSpaceDE w:val="0"/>
              <w:autoSpaceDN w:val="0"/>
              <w:adjustRightInd w:val="0"/>
              <w:spacing w:after="0" w:line="240" w:lineRule="auto"/>
              <w:rPr>
                <w:rFonts w:cstheme="minorHAnsi"/>
                <w:color w:val="000000"/>
              </w:rPr>
            </w:pPr>
            <w:r>
              <w:rPr>
                <w:rFonts w:cstheme="minorHAnsi"/>
                <w:color w:val="000000"/>
              </w:rPr>
              <w:t>3</w:t>
            </w:r>
          </w:p>
        </w:tc>
        <w:tc>
          <w:tcPr>
            <w:tcW w:w="990" w:type="dxa"/>
          </w:tcPr>
          <w:p w14:paraId="3113AA9A" w14:textId="3D7701FC" w:rsidR="001A12D8" w:rsidRPr="001A12D8" w:rsidRDefault="00AA14EE" w:rsidP="001A12D8">
            <w:pPr>
              <w:autoSpaceDE w:val="0"/>
              <w:autoSpaceDN w:val="0"/>
              <w:adjustRightInd w:val="0"/>
              <w:spacing w:after="0" w:line="240" w:lineRule="auto"/>
              <w:rPr>
                <w:rFonts w:cstheme="minorHAnsi"/>
                <w:color w:val="000000"/>
              </w:rPr>
            </w:pPr>
            <w:r>
              <w:rPr>
                <w:rFonts w:cstheme="minorHAnsi"/>
                <w:color w:val="000000"/>
              </w:rPr>
              <w:t>3</w:t>
            </w:r>
          </w:p>
        </w:tc>
        <w:tc>
          <w:tcPr>
            <w:tcW w:w="1170" w:type="dxa"/>
          </w:tcPr>
          <w:p w14:paraId="03CDA529" w14:textId="1993F73E" w:rsidR="00772FFA" w:rsidRPr="666F8A3B" w:rsidRDefault="00772FFA" w:rsidP="001A12D8">
            <w:pPr>
              <w:autoSpaceDE w:val="0"/>
              <w:autoSpaceDN w:val="0"/>
              <w:adjustRightInd w:val="0"/>
              <w:spacing w:after="0" w:line="240" w:lineRule="auto"/>
              <w:rPr>
                <w:color w:val="000000" w:themeColor="text1"/>
              </w:rPr>
            </w:pPr>
            <w:r w:rsidRPr="666F8A3B">
              <w:rPr>
                <w:color w:val="000000" w:themeColor="text1"/>
              </w:rPr>
              <w:t>3</w:t>
            </w:r>
          </w:p>
        </w:tc>
      </w:tr>
    </w:tbl>
    <w:p w14:paraId="3649DB7F" w14:textId="3A68C1A1" w:rsidR="271F6481" w:rsidRPr="00C75C64" w:rsidRDefault="00612F7B" w:rsidP="00B95533">
      <w:pPr>
        <w:rPr>
          <w:rFonts w:cs="Arial"/>
          <w:sz w:val="20"/>
          <w:szCs w:val="20"/>
        </w:rPr>
      </w:pPr>
      <w:r w:rsidRPr="00C75C64">
        <w:rPr>
          <w:rFonts w:cs="Arial"/>
          <w:sz w:val="20"/>
          <w:szCs w:val="20"/>
        </w:rPr>
        <w:t xml:space="preserve">Source: </w:t>
      </w:r>
      <w:r w:rsidR="00874CD1" w:rsidRPr="64AA1653">
        <w:rPr>
          <w:rFonts w:cs="Arial"/>
          <w:sz w:val="20"/>
          <w:szCs w:val="20"/>
        </w:rPr>
        <w:t>Immigrati</w:t>
      </w:r>
      <w:r w:rsidR="0078037E" w:rsidRPr="64AA1653">
        <w:rPr>
          <w:rFonts w:cs="Arial"/>
          <w:sz w:val="20"/>
          <w:szCs w:val="20"/>
        </w:rPr>
        <w:t>on and C</w:t>
      </w:r>
      <w:r w:rsidR="00F96E54" w:rsidRPr="64AA1653">
        <w:rPr>
          <w:rFonts w:cs="Arial"/>
          <w:sz w:val="20"/>
          <w:szCs w:val="20"/>
        </w:rPr>
        <w:t xml:space="preserve">heckpoint Authority of Singapore and Singapore Department of Statistics </w:t>
      </w:r>
    </w:p>
    <w:p w14:paraId="54333072" w14:textId="6AC24F04" w:rsidR="007A49B1" w:rsidRPr="007A49B1" w:rsidRDefault="007A49B1" w:rsidP="007B75A7">
      <w:r w:rsidRPr="0771ECBF">
        <w:rPr>
          <w:b/>
          <w:color w:val="000000" w:themeColor="text1"/>
        </w:rPr>
        <w:t xml:space="preserve">Table </w:t>
      </w:r>
      <w:r w:rsidR="00E227C1">
        <w:rPr>
          <w:b/>
          <w:color w:val="000000" w:themeColor="text1"/>
        </w:rPr>
        <w:t>7</w:t>
      </w:r>
      <w:r w:rsidRPr="0771ECBF">
        <w:rPr>
          <w:b/>
          <w:color w:val="000000" w:themeColor="text1"/>
        </w:rPr>
        <w:t>: Expenditure for Health (FY 20</w:t>
      </w:r>
      <w:r w:rsidR="00166D98" w:rsidRPr="0771ECBF">
        <w:rPr>
          <w:b/>
          <w:color w:val="000000" w:themeColor="text1"/>
        </w:rPr>
        <w:t>1</w:t>
      </w:r>
      <w:r w:rsidRPr="0771ECBF">
        <w:rPr>
          <w:b/>
          <w:color w:val="000000" w:themeColor="text1"/>
        </w:rPr>
        <w:t>9 – FY 20</w:t>
      </w:r>
      <w:r w:rsidR="00166D98" w:rsidRPr="0771ECBF">
        <w:rPr>
          <w:b/>
          <w:color w:val="000000" w:themeColor="text1"/>
        </w:rPr>
        <w:t>2</w:t>
      </w:r>
      <w:r w:rsidRPr="0771ECBF">
        <w:rPr>
          <w:b/>
          <w:color w:val="000000" w:themeColor="text1"/>
        </w:rPr>
        <w:t>3)</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84"/>
        <w:gridCol w:w="1426"/>
        <w:gridCol w:w="1426"/>
        <w:gridCol w:w="1426"/>
        <w:gridCol w:w="2050"/>
      </w:tblGrid>
      <w:tr w:rsidR="00523987" w:rsidRPr="007A49B1" w14:paraId="7F3308C5" w14:textId="77777777" w:rsidTr="00061E9C">
        <w:trPr>
          <w:trHeight w:val="250"/>
        </w:trPr>
        <w:tc>
          <w:tcPr>
            <w:tcW w:w="1668" w:type="dxa"/>
          </w:tcPr>
          <w:p w14:paraId="03B65D59" w14:textId="3B5E3906" w:rsidR="007A49B1" w:rsidRPr="007A49B1" w:rsidRDefault="007A49B1" w:rsidP="007A49B1">
            <w:pPr>
              <w:autoSpaceDE w:val="0"/>
              <w:autoSpaceDN w:val="0"/>
              <w:adjustRightInd w:val="0"/>
              <w:spacing w:after="0" w:line="240" w:lineRule="auto"/>
              <w:rPr>
                <w:b/>
                <w:color w:val="000000"/>
              </w:rPr>
            </w:pPr>
            <w:r w:rsidRPr="0771ECBF">
              <w:rPr>
                <w:b/>
                <w:color w:val="000000" w:themeColor="text1"/>
              </w:rPr>
              <w:t xml:space="preserve">Expenditure For Health </w:t>
            </w:r>
          </w:p>
        </w:tc>
        <w:tc>
          <w:tcPr>
            <w:tcW w:w="1184" w:type="dxa"/>
          </w:tcPr>
          <w:p w14:paraId="0627C9E5" w14:textId="3C7A17C6"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b/>
                <w:bCs/>
                <w:color w:val="000000"/>
              </w:rPr>
              <w:t>FY 20</w:t>
            </w:r>
            <w:r w:rsidR="00166D98">
              <w:rPr>
                <w:rFonts w:cstheme="minorHAnsi"/>
                <w:b/>
                <w:bCs/>
                <w:color w:val="000000"/>
              </w:rPr>
              <w:t>1</w:t>
            </w:r>
            <w:r w:rsidRPr="007A49B1">
              <w:rPr>
                <w:rFonts w:cstheme="minorHAnsi"/>
                <w:b/>
                <w:bCs/>
                <w:color w:val="000000"/>
              </w:rPr>
              <w:t xml:space="preserve">9 </w:t>
            </w:r>
          </w:p>
        </w:tc>
        <w:tc>
          <w:tcPr>
            <w:tcW w:w="1426" w:type="dxa"/>
          </w:tcPr>
          <w:p w14:paraId="3F791043" w14:textId="4F7388EA"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b/>
                <w:bCs/>
                <w:color w:val="000000"/>
              </w:rPr>
              <w:t>FY 20</w:t>
            </w:r>
            <w:r w:rsidR="00166D98">
              <w:rPr>
                <w:rFonts w:cstheme="minorHAnsi"/>
                <w:b/>
                <w:bCs/>
                <w:color w:val="000000"/>
              </w:rPr>
              <w:t>2</w:t>
            </w:r>
            <w:r w:rsidRPr="007A49B1">
              <w:rPr>
                <w:rFonts w:cstheme="minorHAnsi"/>
                <w:b/>
                <w:bCs/>
                <w:color w:val="000000"/>
              </w:rPr>
              <w:t xml:space="preserve">0 </w:t>
            </w:r>
          </w:p>
        </w:tc>
        <w:tc>
          <w:tcPr>
            <w:tcW w:w="1426" w:type="dxa"/>
          </w:tcPr>
          <w:p w14:paraId="2271AB6A" w14:textId="6DFCCB43"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b/>
                <w:bCs/>
                <w:color w:val="000000"/>
              </w:rPr>
              <w:t>FY 20</w:t>
            </w:r>
            <w:r w:rsidR="00166D98">
              <w:rPr>
                <w:rFonts w:cstheme="minorHAnsi"/>
                <w:b/>
                <w:bCs/>
                <w:color w:val="000000"/>
              </w:rPr>
              <w:t>2</w:t>
            </w:r>
            <w:r w:rsidRPr="007A49B1">
              <w:rPr>
                <w:rFonts w:cstheme="minorHAnsi"/>
                <w:b/>
                <w:bCs/>
                <w:color w:val="000000"/>
              </w:rPr>
              <w:t xml:space="preserve">1 </w:t>
            </w:r>
          </w:p>
        </w:tc>
        <w:tc>
          <w:tcPr>
            <w:tcW w:w="1426" w:type="dxa"/>
          </w:tcPr>
          <w:p w14:paraId="7DC9C983" w14:textId="34142598"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b/>
                <w:bCs/>
                <w:color w:val="000000"/>
              </w:rPr>
              <w:t>FY 20</w:t>
            </w:r>
            <w:r w:rsidR="00166D98">
              <w:rPr>
                <w:rFonts w:cstheme="minorHAnsi"/>
                <w:b/>
                <w:bCs/>
                <w:color w:val="000000"/>
              </w:rPr>
              <w:t>22</w:t>
            </w:r>
            <w:r w:rsidRPr="007A49B1">
              <w:rPr>
                <w:rFonts w:cstheme="minorHAnsi"/>
                <w:b/>
                <w:bCs/>
                <w:color w:val="000000"/>
              </w:rPr>
              <w:t xml:space="preserve"> </w:t>
            </w:r>
          </w:p>
        </w:tc>
        <w:tc>
          <w:tcPr>
            <w:tcW w:w="2050" w:type="dxa"/>
          </w:tcPr>
          <w:p w14:paraId="414495C9" w14:textId="2EBE656D" w:rsidR="007A49B1" w:rsidRPr="007A49B1" w:rsidRDefault="53A429E9" w:rsidP="007A49B1">
            <w:pPr>
              <w:autoSpaceDE w:val="0"/>
              <w:autoSpaceDN w:val="0"/>
              <w:adjustRightInd w:val="0"/>
              <w:spacing w:after="0" w:line="240" w:lineRule="auto"/>
              <w:rPr>
                <w:color w:val="000000"/>
              </w:rPr>
            </w:pPr>
            <w:r w:rsidRPr="0771ECBF">
              <w:rPr>
                <w:b/>
                <w:bCs/>
                <w:color w:val="000000" w:themeColor="text1"/>
              </w:rPr>
              <w:t>FY 20</w:t>
            </w:r>
            <w:r w:rsidR="4BA04B27" w:rsidRPr="0771ECBF">
              <w:rPr>
                <w:b/>
                <w:bCs/>
                <w:color w:val="000000" w:themeColor="text1"/>
              </w:rPr>
              <w:t>23</w:t>
            </w:r>
            <w:r w:rsidR="02B4873E" w:rsidRPr="0771ECBF">
              <w:rPr>
                <w:b/>
                <w:bCs/>
                <w:color w:val="000000" w:themeColor="text1"/>
              </w:rPr>
              <w:t xml:space="preserve"> </w:t>
            </w:r>
            <w:r w:rsidR="2DB4C6AE" w:rsidRPr="0771ECBF">
              <w:rPr>
                <w:b/>
                <w:bCs/>
                <w:color w:val="000000" w:themeColor="text1"/>
              </w:rPr>
              <w:t>(</w:t>
            </w:r>
            <w:r w:rsidR="4BE6183A" w:rsidRPr="0771ECBF">
              <w:rPr>
                <w:b/>
                <w:bCs/>
                <w:color w:val="000000" w:themeColor="text1"/>
              </w:rPr>
              <w:t>R</w:t>
            </w:r>
            <w:r w:rsidR="02B4873E" w:rsidRPr="0771ECBF">
              <w:rPr>
                <w:b/>
                <w:bCs/>
                <w:color w:val="000000" w:themeColor="text1"/>
              </w:rPr>
              <w:t>evised</w:t>
            </w:r>
            <w:r w:rsidR="1F8347D5" w:rsidRPr="0771ECBF">
              <w:rPr>
                <w:b/>
                <w:bCs/>
                <w:color w:val="000000" w:themeColor="text1"/>
              </w:rPr>
              <w:t xml:space="preserve"> Estimates)</w:t>
            </w:r>
          </w:p>
        </w:tc>
      </w:tr>
      <w:tr w:rsidR="00523987" w:rsidRPr="007A49B1" w14:paraId="2B9CF0CA" w14:textId="77777777" w:rsidTr="00061E9C">
        <w:trPr>
          <w:trHeight w:val="229"/>
        </w:trPr>
        <w:tc>
          <w:tcPr>
            <w:tcW w:w="1668" w:type="dxa"/>
          </w:tcPr>
          <w:p w14:paraId="63E47C14" w14:textId="5945E5C1" w:rsidR="007A49B1" w:rsidRPr="007A49B1" w:rsidRDefault="007A49B1" w:rsidP="007A49B1">
            <w:pPr>
              <w:autoSpaceDE w:val="0"/>
              <w:autoSpaceDN w:val="0"/>
              <w:adjustRightInd w:val="0"/>
              <w:spacing w:after="0" w:line="240" w:lineRule="auto"/>
              <w:rPr>
                <w:color w:val="000000"/>
              </w:rPr>
            </w:pPr>
            <w:r w:rsidRPr="2BB1FACF">
              <w:rPr>
                <w:color w:val="000000" w:themeColor="text1"/>
              </w:rPr>
              <w:t xml:space="preserve">Expenditure </w:t>
            </w:r>
          </w:p>
        </w:tc>
        <w:tc>
          <w:tcPr>
            <w:tcW w:w="1184" w:type="dxa"/>
          </w:tcPr>
          <w:p w14:paraId="4F78F7B0" w14:textId="4994EFF4" w:rsidR="007A49B1" w:rsidRPr="007A49B1" w:rsidRDefault="006F14D9" w:rsidP="007A49B1">
            <w:pPr>
              <w:autoSpaceDE w:val="0"/>
              <w:autoSpaceDN w:val="0"/>
              <w:adjustRightInd w:val="0"/>
              <w:spacing w:after="0" w:line="240" w:lineRule="auto"/>
              <w:rPr>
                <w:rFonts w:cstheme="minorHAnsi"/>
                <w:color w:val="000000"/>
              </w:rPr>
            </w:pPr>
            <w:r w:rsidRPr="00392167">
              <w:rPr>
                <w:rFonts w:cstheme="minorHAnsi"/>
                <w:color w:val="000000"/>
                <w:sz w:val="23"/>
                <w:szCs w:val="23"/>
              </w:rPr>
              <w:t>S$</w:t>
            </w:r>
            <w:r w:rsidR="00D04A05">
              <w:rPr>
                <w:rFonts w:cstheme="minorHAnsi"/>
                <w:color w:val="000000"/>
              </w:rPr>
              <w:t>11,319</w:t>
            </w:r>
          </w:p>
          <w:p w14:paraId="6EC2EE68" w14:textId="77777777"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color w:val="000000"/>
              </w:rPr>
              <w:t xml:space="preserve">Million </w:t>
            </w:r>
          </w:p>
        </w:tc>
        <w:tc>
          <w:tcPr>
            <w:tcW w:w="1426" w:type="dxa"/>
          </w:tcPr>
          <w:p w14:paraId="4740F2F5" w14:textId="361E2BB1" w:rsidR="007A49B1" w:rsidRPr="007A49B1" w:rsidRDefault="006F14D9" w:rsidP="007A49B1">
            <w:pPr>
              <w:autoSpaceDE w:val="0"/>
              <w:autoSpaceDN w:val="0"/>
              <w:adjustRightInd w:val="0"/>
              <w:spacing w:after="0" w:line="240" w:lineRule="auto"/>
              <w:rPr>
                <w:rFonts w:cstheme="minorHAnsi"/>
                <w:color w:val="000000"/>
              </w:rPr>
            </w:pPr>
            <w:r w:rsidRPr="00392167">
              <w:rPr>
                <w:rFonts w:cstheme="minorHAnsi"/>
                <w:color w:val="000000"/>
                <w:sz w:val="23"/>
                <w:szCs w:val="23"/>
              </w:rPr>
              <w:t>S$</w:t>
            </w:r>
            <w:r w:rsidR="005F1DB8">
              <w:rPr>
                <w:rFonts w:cstheme="minorHAnsi"/>
                <w:color w:val="000000"/>
              </w:rPr>
              <w:t>15,260</w:t>
            </w:r>
          </w:p>
          <w:p w14:paraId="21B57F7E" w14:textId="77777777"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color w:val="000000"/>
              </w:rPr>
              <w:t xml:space="preserve">Million </w:t>
            </w:r>
          </w:p>
        </w:tc>
        <w:tc>
          <w:tcPr>
            <w:tcW w:w="1426" w:type="dxa"/>
          </w:tcPr>
          <w:p w14:paraId="4AE8BA1F" w14:textId="59F9E846" w:rsidR="007A49B1" w:rsidRPr="007A49B1" w:rsidRDefault="006F14D9" w:rsidP="007A49B1">
            <w:pPr>
              <w:autoSpaceDE w:val="0"/>
              <w:autoSpaceDN w:val="0"/>
              <w:adjustRightInd w:val="0"/>
              <w:spacing w:after="0" w:line="240" w:lineRule="auto"/>
              <w:rPr>
                <w:rFonts w:cstheme="minorHAnsi"/>
                <w:color w:val="000000"/>
              </w:rPr>
            </w:pPr>
            <w:r w:rsidRPr="00392167">
              <w:rPr>
                <w:rFonts w:cstheme="minorHAnsi"/>
                <w:color w:val="000000"/>
                <w:sz w:val="23"/>
                <w:szCs w:val="23"/>
              </w:rPr>
              <w:t>S$</w:t>
            </w:r>
            <w:r w:rsidR="00166D98">
              <w:rPr>
                <w:rFonts w:cstheme="minorHAnsi"/>
                <w:color w:val="000000"/>
              </w:rPr>
              <w:t>17,322</w:t>
            </w:r>
          </w:p>
          <w:p w14:paraId="5D391DB0" w14:textId="77777777"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color w:val="000000"/>
              </w:rPr>
              <w:t xml:space="preserve">Million </w:t>
            </w:r>
          </w:p>
        </w:tc>
        <w:tc>
          <w:tcPr>
            <w:tcW w:w="1426" w:type="dxa"/>
          </w:tcPr>
          <w:p w14:paraId="7334CE63" w14:textId="76B3F05D" w:rsidR="007A49B1" w:rsidRPr="007A49B1" w:rsidRDefault="006F14D9" w:rsidP="007A49B1">
            <w:pPr>
              <w:autoSpaceDE w:val="0"/>
              <w:autoSpaceDN w:val="0"/>
              <w:adjustRightInd w:val="0"/>
              <w:spacing w:after="0" w:line="240" w:lineRule="auto"/>
              <w:rPr>
                <w:rFonts w:cstheme="minorHAnsi"/>
                <w:color w:val="000000"/>
              </w:rPr>
            </w:pPr>
            <w:r w:rsidRPr="00392167">
              <w:rPr>
                <w:rFonts w:cstheme="minorHAnsi"/>
                <w:color w:val="000000"/>
                <w:sz w:val="23"/>
                <w:szCs w:val="23"/>
              </w:rPr>
              <w:t>S$</w:t>
            </w:r>
            <w:r w:rsidR="00B96ADE">
              <w:rPr>
                <w:rFonts w:cstheme="minorHAnsi"/>
                <w:color w:val="000000"/>
              </w:rPr>
              <w:t>17,112</w:t>
            </w:r>
          </w:p>
          <w:p w14:paraId="4BDEA9EB" w14:textId="77777777" w:rsidR="007A49B1" w:rsidRPr="007A49B1" w:rsidRDefault="007A49B1" w:rsidP="007A49B1">
            <w:pPr>
              <w:autoSpaceDE w:val="0"/>
              <w:autoSpaceDN w:val="0"/>
              <w:adjustRightInd w:val="0"/>
              <w:spacing w:after="0" w:line="240" w:lineRule="auto"/>
              <w:rPr>
                <w:rFonts w:cstheme="minorHAnsi"/>
                <w:color w:val="000000"/>
              </w:rPr>
            </w:pPr>
            <w:r w:rsidRPr="007A49B1">
              <w:rPr>
                <w:rFonts w:cstheme="minorHAnsi"/>
                <w:color w:val="000000"/>
              </w:rPr>
              <w:t xml:space="preserve">Million </w:t>
            </w:r>
          </w:p>
        </w:tc>
        <w:tc>
          <w:tcPr>
            <w:tcW w:w="2050" w:type="dxa"/>
          </w:tcPr>
          <w:p w14:paraId="38298340" w14:textId="698C112D" w:rsidR="007A49B1" w:rsidRPr="007A49B1" w:rsidRDefault="006F14D9" w:rsidP="007A49B1">
            <w:pPr>
              <w:autoSpaceDE w:val="0"/>
              <w:autoSpaceDN w:val="0"/>
              <w:adjustRightInd w:val="0"/>
              <w:spacing w:after="0" w:line="240" w:lineRule="auto"/>
              <w:rPr>
                <w:rFonts w:cstheme="minorHAnsi"/>
                <w:color w:val="000000"/>
              </w:rPr>
            </w:pPr>
            <w:r w:rsidRPr="00392167">
              <w:rPr>
                <w:rFonts w:cstheme="minorHAnsi"/>
                <w:color w:val="000000"/>
                <w:sz w:val="23"/>
                <w:szCs w:val="23"/>
              </w:rPr>
              <w:t>S$</w:t>
            </w:r>
            <w:r w:rsidR="00B96ADE" w:rsidRPr="4E2432B5">
              <w:rPr>
                <w:color w:val="000000" w:themeColor="text1"/>
              </w:rPr>
              <w:t>17,</w:t>
            </w:r>
            <w:r w:rsidR="4CFDC6A3" w:rsidRPr="4E2432B5">
              <w:rPr>
                <w:color w:val="000000" w:themeColor="text1"/>
              </w:rPr>
              <w:t>94</w:t>
            </w:r>
            <w:r w:rsidR="40A0A8F0" w:rsidRPr="4E2432B5">
              <w:rPr>
                <w:color w:val="000000" w:themeColor="text1"/>
              </w:rPr>
              <w:t>6</w:t>
            </w:r>
            <w:r w:rsidR="007A49B1" w:rsidRPr="4E2432B5">
              <w:rPr>
                <w:color w:val="000000" w:themeColor="text1"/>
              </w:rPr>
              <w:t xml:space="preserve"> Million </w:t>
            </w:r>
          </w:p>
        </w:tc>
      </w:tr>
    </w:tbl>
    <w:p w14:paraId="2069B1D8" w14:textId="3B614546" w:rsidR="007A49B1" w:rsidRPr="00C75C64" w:rsidRDefault="00612F7B" w:rsidP="007B75A7">
      <w:pPr>
        <w:rPr>
          <w:rFonts w:cs="Arial"/>
          <w:sz w:val="20"/>
          <w:szCs w:val="20"/>
        </w:rPr>
      </w:pPr>
      <w:r w:rsidRPr="00C75C64">
        <w:rPr>
          <w:rFonts w:cs="Arial"/>
          <w:sz w:val="20"/>
          <w:szCs w:val="20"/>
        </w:rPr>
        <w:t xml:space="preserve">Source: Ministry of Finance </w:t>
      </w:r>
    </w:p>
    <w:p w14:paraId="6B5EF1A2" w14:textId="2E76104E" w:rsidR="000C511E" w:rsidRPr="000C511E" w:rsidRDefault="000C511E" w:rsidP="0045392A">
      <w:pPr>
        <w:pStyle w:val="ListParagraph"/>
        <w:numPr>
          <w:ilvl w:val="0"/>
          <w:numId w:val="17"/>
        </w:numPr>
        <w:rPr>
          <w:b/>
          <w:bCs/>
        </w:rPr>
      </w:pPr>
      <w:r w:rsidRPr="006F72E0">
        <w:rPr>
          <w:b/>
          <w:bCs/>
        </w:rPr>
        <w:t>Expanded health services for women</w:t>
      </w:r>
    </w:p>
    <w:p w14:paraId="27E61271" w14:textId="39849AD3" w:rsidR="00F705A7" w:rsidRDefault="001C2E87" w:rsidP="00D02AA3">
      <w:pPr>
        <w:jc w:val="both"/>
        <w:rPr>
          <w:rFonts w:cs="Arial"/>
        </w:rPr>
      </w:pPr>
      <w:r w:rsidRPr="4F7A6403">
        <w:rPr>
          <w:rFonts w:cs="Arial"/>
        </w:rPr>
        <w:t xml:space="preserve">Singapore introduced the Healthier SG </w:t>
      </w:r>
      <w:r w:rsidR="669F17EF" w:rsidRPr="4F7A6403">
        <w:rPr>
          <w:rFonts w:cs="Arial"/>
        </w:rPr>
        <w:t xml:space="preserve">national initiative </w:t>
      </w:r>
      <w:r w:rsidRPr="4F7A6403">
        <w:rPr>
          <w:rFonts w:cs="Arial"/>
        </w:rPr>
        <w:t xml:space="preserve">in 2023 to focus on preventive care for eligible residents, including women. </w:t>
      </w:r>
    </w:p>
    <w:p w14:paraId="33C5CC79" w14:textId="4B3769E3" w:rsidR="006B5D34" w:rsidRDefault="00267AAA" w:rsidP="00D02AA3">
      <w:pPr>
        <w:jc w:val="both"/>
      </w:pPr>
      <w:r w:rsidRPr="00056056">
        <w:t xml:space="preserve">Specific health services continue to be </w:t>
      </w:r>
      <w:r w:rsidR="0095585B" w:rsidRPr="00056056">
        <w:t>made available and expanded for</w:t>
      </w:r>
      <w:r w:rsidRPr="00056056">
        <w:t xml:space="preserve"> women</w:t>
      </w:r>
      <w:r w:rsidR="00056056" w:rsidRPr="00056056">
        <w:t>, including sexual and reproductive health services, maternal health</w:t>
      </w:r>
      <w:r w:rsidR="00C4420B">
        <w:t>,</w:t>
      </w:r>
      <w:r w:rsidR="00056056" w:rsidRPr="00056056">
        <w:t xml:space="preserve"> and HIV services</w:t>
      </w:r>
      <w:r w:rsidRPr="00056056">
        <w:t xml:space="preserve">. </w:t>
      </w:r>
    </w:p>
    <w:p w14:paraId="0C4A5176" w14:textId="6E1A5D48" w:rsidR="001D21A3" w:rsidRPr="00F44592" w:rsidRDefault="0003777A" w:rsidP="0045392A">
      <w:pPr>
        <w:pStyle w:val="ListParagraph"/>
        <w:numPr>
          <w:ilvl w:val="0"/>
          <w:numId w:val="18"/>
        </w:numPr>
        <w:rPr>
          <w:i/>
          <w:iCs/>
        </w:rPr>
      </w:pPr>
      <w:r w:rsidRPr="00F44592">
        <w:rPr>
          <w:i/>
          <w:iCs/>
        </w:rPr>
        <w:t>Gender-specific health campaigns</w:t>
      </w:r>
      <w:r w:rsidR="001D21A3" w:rsidRPr="00F44592">
        <w:rPr>
          <w:i/>
          <w:iCs/>
        </w:rPr>
        <w:t xml:space="preserve"> </w:t>
      </w:r>
    </w:p>
    <w:p w14:paraId="3252F29D" w14:textId="77777777" w:rsidR="001D21A3" w:rsidRPr="001D21A3" w:rsidRDefault="001D21A3" w:rsidP="001D21A3">
      <w:pPr>
        <w:spacing w:after="120" w:line="240" w:lineRule="auto"/>
        <w:jc w:val="both"/>
        <w:rPr>
          <w:rFonts w:cstheme="minorHAnsi"/>
        </w:rPr>
      </w:pPr>
      <w:r w:rsidRPr="001D21A3">
        <w:rPr>
          <w:rFonts w:cstheme="minorHAnsi"/>
        </w:rPr>
        <w:t xml:space="preserve">Nationally recommended health screenings, including breast cancer screening in older women, are fully subsidised for enrolled citizens. </w:t>
      </w:r>
    </w:p>
    <w:p w14:paraId="33323D2A" w14:textId="0D061EB8" w:rsidR="001D21A3" w:rsidRPr="001D21A3" w:rsidRDefault="001D21A3" w:rsidP="001D21A3">
      <w:pPr>
        <w:spacing w:after="120" w:line="240" w:lineRule="auto"/>
        <w:jc w:val="both"/>
        <w:rPr>
          <w:rFonts w:cstheme="minorHAnsi"/>
        </w:rPr>
      </w:pPr>
      <w:r w:rsidRPr="001D21A3">
        <w:rPr>
          <w:rFonts w:cstheme="minorHAnsi"/>
        </w:rPr>
        <w:t xml:space="preserve">For cervical cancer prevention, MOH fully subsidises human papillomavirus (HPV) vaccination for all Secondary 1 and 2 female students as part of Health Promotion Board’s school-based health programme. HPV vaccination is also subsidised for eligible female Singaporeans aged </w:t>
      </w:r>
      <w:r>
        <w:rPr>
          <w:rFonts w:cstheme="minorHAnsi"/>
        </w:rPr>
        <w:t xml:space="preserve">9 – </w:t>
      </w:r>
      <w:r w:rsidRPr="001D21A3">
        <w:rPr>
          <w:rFonts w:cstheme="minorHAnsi"/>
        </w:rPr>
        <w:t xml:space="preserve">26 at Community Health Assist Scheme (CHAS) GP clinics and polyclinics. </w:t>
      </w:r>
    </w:p>
    <w:p w14:paraId="32596D1B" w14:textId="2FB19E63" w:rsidR="001D21A3" w:rsidRPr="00CD3132" w:rsidRDefault="001D21A3" w:rsidP="00CD3132">
      <w:pPr>
        <w:spacing w:after="120" w:line="240" w:lineRule="auto"/>
        <w:jc w:val="both"/>
        <w:rPr>
          <w:rFonts w:cstheme="minorHAnsi"/>
        </w:rPr>
      </w:pPr>
      <w:r w:rsidRPr="001D21A3">
        <w:rPr>
          <w:rFonts w:cstheme="minorHAnsi"/>
        </w:rPr>
        <w:t>Singapore is close to attaining the World Health Organization’s 2030 target of 90% of girls being fully vaccinated with the HPV vaccine by the age of 15, with 89.4% of females aged 15 having received the nationally recommended doses of the HPV vaccine in 2022.</w:t>
      </w:r>
    </w:p>
    <w:p w14:paraId="1A102C4F" w14:textId="5260F050" w:rsidR="00C6416F" w:rsidRPr="00F44592" w:rsidRDefault="00C4420B" w:rsidP="0045392A">
      <w:pPr>
        <w:pStyle w:val="ListParagraph"/>
        <w:numPr>
          <w:ilvl w:val="0"/>
          <w:numId w:val="18"/>
        </w:numPr>
        <w:rPr>
          <w:i/>
          <w:iCs/>
        </w:rPr>
      </w:pPr>
      <w:r w:rsidRPr="00F44592">
        <w:rPr>
          <w:i/>
          <w:iCs/>
        </w:rPr>
        <w:t>Sexual and reproductive health</w:t>
      </w:r>
      <w:r w:rsidR="003E1D9C" w:rsidRPr="00F44592">
        <w:rPr>
          <w:i/>
          <w:iCs/>
        </w:rPr>
        <w:t xml:space="preserve"> </w:t>
      </w:r>
    </w:p>
    <w:p w14:paraId="52F69556" w14:textId="77777777" w:rsidR="006C6BD3" w:rsidRDefault="00C4420B" w:rsidP="006C6BD3">
      <w:pPr>
        <w:spacing w:line="259" w:lineRule="auto"/>
        <w:jc w:val="both"/>
        <w:rPr>
          <w:rFonts w:cs="Arial"/>
        </w:rPr>
      </w:pPr>
      <w:r w:rsidRPr="006C6BD3">
        <w:rPr>
          <w:rFonts w:cs="Arial"/>
        </w:rPr>
        <w:lastRenderedPageBreak/>
        <w:t xml:space="preserve">Singapore has a well-established healthcare system and contraception is generally accessible. Contraceptives such as birth control pills, condoms and intrauterine devices (IUD) are available through healthcare providers and pharmacies. The quantity, quality and cost may vary based on the specific method and brand chosen. </w:t>
      </w:r>
    </w:p>
    <w:p w14:paraId="485201C3" w14:textId="5AD4438E" w:rsidR="006C6BD3" w:rsidRPr="006C6BD3" w:rsidRDefault="006C6BD3" w:rsidP="006C6BD3">
      <w:pPr>
        <w:spacing w:line="259" w:lineRule="auto"/>
        <w:jc w:val="both"/>
      </w:pPr>
      <w:r w:rsidRPr="00307AE9">
        <w:t>In 2021, about 10</w:t>
      </w:r>
      <w:r>
        <w:t>,000</w:t>
      </w:r>
      <w:r w:rsidRPr="00307AE9">
        <w:t xml:space="preserve"> Singapore resident females aged 15</w:t>
      </w:r>
      <w:r>
        <w:t>–</w:t>
      </w:r>
      <w:r w:rsidRPr="00307AE9">
        <w:t xml:space="preserve">49 were prescribed contraceptive medications/device in public healthcare institutions. These figures may include females who are using oral contraceptives for menstrual cycle regulation as the reason for prescription was not differentiated. </w:t>
      </w:r>
    </w:p>
    <w:p w14:paraId="4D47CA36" w14:textId="548278DD" w:rsidR="00D778BF" w:rsidRPr="00D778BF" w:rsidRDefault="00D778BF" w:rsidP="00D778BF">
      <w:pPr>
        <w:spacing w:line="259" w:lineRule="auto"/>
        <w:jc w:val="both"/>
        <w:rPr>
          <w:lang w:val="en-GB"/>
        </w:rPr>
      </w:pPr>
      <w:r w:rsidRPr="00D778BF">
        <w:rPr>
          <w:lang w:val="en-GB"/>
        </w:rPr>
        <w:t>In Singapore, abortion is regulated under the Termination of Pregnancy Act (TOPA</w:t>
      </w:r>
      <w:proofErr w:type="gramStart"/>
      <w:r w:rsidRPr="00D778BF">
        <w:rPr>
          <w:lang w:val="en-GB"/>
        </w:rPr>
        <w:t>), and</w:t>
      </w:r>
      <w:proofErr w:type="gramEnd"/>
      <w:r w:rsidRPr="00D778BF">
        <w:rPr>
          <w:lang w:val="en-GB"/>
        </w:rPr>
        <w:t xml:space="preserve"> is legal before 24 gestational weeks. Abortion can only be carried out after 24 weeks if it is immediately necessary to save the life or to prevent grave permanent injury to the physical or mental health of the pregnant woman.</w:t>
      </w:r>
    </w:p>
    <w:p w14:paraId="106DA638" w14:textId="38BCF372" w:rsidR="00D778BF" w:rsidRPr="003E578E" w:rsidRDefault="00D778BF" w:rsidP="00D778BF">
      <w:pPr>
        <w:spacing w:line="259" w:lineRule="auto"/>
        <w:jc w:val="both"/>
      </w:pPr>
      <w:r w:rsidRPr="00D778BF">
        <w:rPr>
          <w:lang w:val="en-GB"/>
        </w:rPr>
        <w:t>Under the TOPA, all pregnant women seeking abortion in Singapore</w:t>
      </w:r>
      <w:r w:rsidRPr="00B03960">
        <w:t xml:space="preserve"> are required to undergo pre-abortion counselling with a trained counsellor. The pregnant woman can only give her written consent to abortion at least 48 hours after the counselling session. This is to allow her time to carefully consider her decision for abortion. Those who require further support and follow-up are also directed to the Family Service Centres or help-lines.</w:t>
      </w:r>
    </w:p>
    <w:p w14:paraId="67E3AC2A" w14:textId="7822B80B" w:rsidR="00C90180" w:rsidRPr="00B03960" w:rsidRDefault="00D778BF" w:rsidP="00D778BF">
      <w:pPr>
        <w:spacing w:line="259" w:lineRule="auto"/>
        <w:jc w:val="both"/>
      </w:pPr>
      <w:r>
        <w:rPr>
          <w:rFonts w:cs="Arial"/>
          <w:szCs w:val="24"/>
        </w:rPr>
        <w:t>P</w:t>
      </w:r>
      <w:r w:rsidRPr="00D778BF">
        <w:rPr>
          <w:rFonts w:cs="Arial"/>
          <w:szCs w:val="24"/>
        </w:rPr>
        <w:t xml:space="preserve">arental consent </w:t>
      </w:r>
      <w:r>
        <w:rPr>
          <w:rFonts w:cs="Arial"/>
          <w:szCs w:val="24"/>
        </w:rPr>
        <w:t xml:space="preserve">for counselling </w:t>
      </w:r>
      <w:r w:rsidRPr="00D778BF">
        <w:rPr>
          <w:rFonts w:cs="Arial"/>
          <w:szCs w:val="24"/>
        </w:rPr>
        <w:t>is not required as there were concerns that mandating parental consent for such abortions may compel these minors to risk their lives by seeking unsafe abortions elsewhere. Minors seeking abortions are encouraged to inform and discuss with their parents and family on their decision to undergo abortion.</w:t>
      </w:r>
    </w:p>
    <w:p w14:paraId="2803F8FE" w14:textId="7A49DE0C" w:rsidR="00900C3E" w:rsidRPr="00F44592" w:rsidRDefault="00900C3E" w:rsidP="0045392A">
      <w:pPr>
        <w:pStyle w:val="ListParagraph"/>
        <w:numPr>
          <w:ilvl w:val="0"/>
          <w:numId w:val="18"/>
        </w:numPr>
        <w:rPr>
          <w:i/>
          <w:iCs/>
        </w:rPr>
      </w:pPr>
      <w:r w:rsidRPr="00F44592">
        <w:rPr>
          <w:i/>
          <w:iCs/>
        </w:rPr>
        <w:t>Mental health</w:t>
      </w:r>
      <w:r w:rsidR="003E1D9C" w:rsidRPr="00F44592">
        <w:rPr>
          <w:i/>
          <w:iCs/>
        </w:rPr>
        <w:t xml:space="preserve"> </w:t>
      </w:r>
    </w:p>
    <w:p w14:paraId="1DB93E62" w14:textId="2D577725" w:rsidR="00C4420B" w:rsidRPr="00A33F75" w:rsidRDefault="00A33F75" w:rsidP="00323694">
      <w:pPr>
        <w:spacing w:before="120" w:after="120"/>
        <w:jc w:val="both"/>
        <w:rPr>
          <w:rFonts w:cstheme="minorHAnsi"/>
        </w:rPr>
      </w:pPr>
      <w:r w:rsidRPr="00A33F75">
        <w:rPr>
          <w:rFonts w:cstheme="minorHAnsi"/>
        </w:rPr>
        <w:t>Over the years, MOH has worked with partner agencies, healthcare institutions and community service providers to develop and expand mental health services for persons who require care and support.</w:t>
      </w:r>
    </w:p>
    <w:p w14:paraId="1159AF62" w14:textId="64A509F4" w:rsidR="00C87F1A" w:rsidRPr="00C87F1A" w:rsidRDefault="00C87F1A" w:rsidP="00FC5F68">
      <w:pPr>
        <w:pStyle w:val="Question"/>
        <w:numPr>
          <w:ilvl w:val="0"/>
          <w:numId w:val="0"/>
        </w:numPr>
        <w:rPr>
          <w:rFonts w:asciiTheme="minorHAnsi" w:hAnsiTheme="minorHAnsi" w:cstheme="minorHAnsi"/>
          <w:b w:val="0"/>
          <w:sz w:val="22"/>
          <w:szCs w:val="22"/>
          <w:lang w:val="en-US" w:eastAsia="en-US"/>
        </w:rPr>
      </w:pPr>
      <w:r w:rsidRPr="00C87F1A">
        <w:rPr>
          <w:rFonts w:asciiTheme="minorHAnsi" w:hAnsiTheme="minorHAnsi" w:cstheme="minorHAnsi"/>
          <w:b w:val="0"/>
          <w:sz w:val="22"/>
          <w:szCs w:val="22"/>
          <w:lang w:val="en-US" w:eastAsia="en-US"/>
        </w:rPr>
        <w:t xml:space="preserve">According to the 2022 National Population Health Survey (NPHS), a larger proportion of females (18.6%) reported poor mental health compared to males (15.2%). This survey also found that females were more willing to seek help from healthcare professionals and informal support networks compared to males, which could have contributed to more females reporting poor mental health. Moreover, experts in mood disorder as well as those with a lived experience of mental illness have elaborated on the tendency of males downplaying the symptoms of depression due to gender norms as well as </w:t>
      </w:r>
      <w:proofErr w:type="spellStart"/>
      <w:r w:rsidRPr="00C87F1A">
        <w:rPr>
          <w:rFonts w:asciiTheme="minorHAnsi" w:hAnsiTheme="minorHAnsi" w:cstheme="minorHAnsi"/>
          <w:b w:val="0"/>
          <w:sz w:val="22"/>
          <w:szCs w:val="22"/>
          <w:lang w:val="en-US" w:eastAsia="en-US"/>
        </w:rPr>
        <w:t>stigmati</w:t>
      </w:r>
      <w:r w:rsidR="00D47C6D">
        <w:rPr>
          <w:rFonts w:asciiTheme="minorHAnsi" w:hAnsiTheme="minorHAnsi" w:cstheme="minorHAnsi"/>
          <w:b w:val="0"/>
          <w:sz w:val="22"/>
          <w:szCs w:val="22"/>
          <w:lang w:val="en-US" w:eastAsia="en-US"/>
        </w:rPr>
        <w:t>s</w:t>
      </w:r>
      <w:r w:rsidRPr="00C87F1A">
        <w:rPr>
          <w:rFonts w:asciiTheme="minorHAnsi" w:hAnsiTheme="minorHAnsi" w:cstheme="minorHAnsi"/>
          <w:b w:val="0"/>
          <w:sz w:val="22"/>
          <w:szCs w:val="22"/>
          <w:lang w:val="en-US" w:eastAsia="en-US"/>
        </w:rPr>
        <w:t>ation</w:t>
      </w:r>
      <w:proofErr w:type="spellEnd"/>
      <w:r w:rsidRPr="00C87F1A">
        <w:rPr>
          <w:rFonts w:asciiTheme="minorHAnsi" w:hAnsiTheme="minorHAnsi" w:cstheme="minorHAnsi"/>
          <w:b w:val="0"/>
          <w:sz w:val="22"/>
          <w:szCs w:val="22"/>
          <w:lang w:val="en-US" w:eastAsia="en-US"/>
        </w:rPr>
        <w:t>.</w:t>
      </w:r>
      <w:r w:rsidRPr="00C87F1A">
        <w:rPr>
          <w:rStyle w:val="FootnoteReference"/>
          <w:rFonts w:asciiTheme="minorHAnsi" w:hAnsiTheme="minorHAnsi" w:cstheme="minorHAnsi"/>
          <w:b w:val="0"/>
          <w:sz w:val="22"/>
          <w:szCs w:val="22"/>
          <w:lang w:val="en-US" w:eastAsia="en-US"/>
        </w:rPr>
        <w:footnoteReference w:id="14"/>
      </w:r>
    </w:p>
    <w:p w14:paraId="38A9EC1D" w14:textId="77777777" w:rsidR="00C87F1A" w:rsidRPr="00387240" w:rsidRDefault="00C87F1A" w:rsidP="00FC5F68">
      <w:pPr>
        <w:pStyle w:val="Question"/>
        <w:numPr>
          <w:ilvl w:val="0"/>
          <w:numId w:val="0"/>
        </w:numPr>
        <w:rPr>
          <w:rFonts w:asciiTheme="minorHAnsi" w:hAnsiTheme="minorHAnsi" w:cstheme="minorHAnsi"/>
          <w:b w:val="0"/>
          <w:bCs w:val="0"/>
          <w:sz w:val="22"/>
          <w:szCs w:val="22"/>
        </w:rPr>
      </w:pPr>
      <w:r w:rsidRPr="00C87F1A">
        <w:rPr>
          <w:rFonts w:asciiTheme="minorHAnsi" w:hAnsiTheme="minorHAnsi" w:cstheme="minorHAnsi"/>
          <w:b w:val="0"/>
          <w:bCs w:val="0"/>
          <w:sz w:val="22"/>
          <w:szCs w:val="22"/>
        </w:rPr>
        <w:t xml:space="preserve">As mothers and expectant mothers may also be at risk of postnatal and antenatal depression, NUH, SGH </w:t>
      </w:r>
      <w:r w:rsidRPr="00387240">
        <w:rPr>
          <w:rFonts w:asciiTheme="minorHAnsi" w:hAnsiTheme="minorHAnsi" w:cstheme="minorHAnsi"/>
          <w:b w:val="0"/>
          <w:bCs w:val="0"/>
          <w:sz w:val="22"/>
          <w:szCs w:val="22"/>
        </w:rPr>
        <w:t>and KKH each have programmes providing antenatal and postnatal mental health screening.</w:t>
      </w:r>
    </w:p>
    <w:p w14:paraId="66A3DD4A" w14:textId="52A5E09C" w:rsidR="0003777A" w:rsidRPr="00387240" w:rsidRDefault="008C0E20" w:rsidP="00522794">
      <w:pPr>
        <w:jc w:val="both"/>
      </w:pPr>
      <w:r w:rsidRPr="00387240">
        <w:t>N</w:t>
      </w:r>
      <w:r w:rsidR="00423805" w:rsidRPr="00387240">
        <w:t xml:space="preserve">ew measures to tackle mental health have been implemented </w:t>
      </w:r>
      <w:r w:rsidRPr="00387240">
        <w:t>since the pandemic (read more below).</w:t>
      </w:r>
    </w:p>
    <w:p w14:paraId="3BE7449B" w14:textId="19BDEA31" w:rsidR="00F44592" w:rsidRPr="00387240" w:rsidRDefault="002F1322" w:rsidP="00522794">
      <w:pPr>
        <w:pStyle w:val="ListParagraph"/>
        <w:numPr>
          <w:ilvl w:val="0"/>
          <w:numId w:val="18"/>
        </w:numPr>
        <w:jc w:val="both"/>
        <w:rPr>
          <w:rFonts w:cs="Arial"/>
          <w:i/>
          <w:iCs/>
          <w:szCs w:val="24"/>
        </w:rPr>
      </w:pPr>
      <w:r w:rsidRPr="00387240">
        <w:rPr>
          <w:i/>
          <w:iCs/>
        </w:rPr>
        <w:t>Gender-responsive training for health service providers</w:t>
      </w:r>
      <w:r w:rsidR="003E1D9C" w:rsidRPr="00387240">
        <w:rPr>
          <w:i/>
          <w:iCs/>
        </w:rPr>
        <w:t xml:space="preserve"> </w:t>
      </w:r>
    </w:p>
    <w:p w14:paraId="2C4E45B4" w14:textId="7218C916" w:rsidR="00C67EF0" w:rsidRPr="00F44592" w:rsidRDefault="00C67EF0" w:rsidP="00522794">
      <w:pPr>
        <w:jc w:val="both"/>
        <w:rPr>
          <w:rFonts w:cs="Arial"/>
          <w:szCs w:val="24"/>
        </w:rPr>
      </w:pPr>
      <w:r w:rsidRPr="00F44592">
        <w:rPr>
          <w:rFonts w:cs="Arial"/>
          <w:szCs w:val="24"/>
        </w:rPr>
        <w:t>Healthcare professionals such as doctors and nurses play an important role in providing healthcare services and are trained to support patients with empathy, sensitivity and due consideration of their specific care needs, which encompass the risk factors associated with the development of mental health issues in women.</w:t>
      </w:r>
    </w:p>
    <w:p w14:paraId="5A38140D" w14:textId="1CF35E59" w:rsidR="00E34F9C" w:rsidRPr="00F44592" w:rsidRDefault="00E34F9C" w:rsidP="0045392A">
      <w:pPr>
        <w:pStyle w:val="ListParagraph"/>
        <w:numPr>
          <w:ilvl w:val="0"/>
          <w:numId w:val="18"/>
        </w:numPr>
        <w:rPr>
          <w:i/>
          <w:iCs/>
        </w:rPr>
      </w:pPr>
      <w:r w:rsidRPr="00F44592">
        <w:rPr>
          <w:i/>
          <w:iCs/>
        </w:rPr>
        <w:lastRenderedPageBreak/>
        <w:t>HIV</w:t>
      </w:r>
      <w:r w:rsidR="003E1D9C" w:rsidRPr="00F44592">
        <w:rPr>
          <w:i/>
          <w:iCs/>
        </w:rPr>
        <w:t xml:space="preserve"> </w:t>
      </w:r>
    </w:p>
    <w:p w14:paraId="346620BF" w14:textId="72CAEA91" w:rsidR="00E34F9C" w:rsidRDefault="000A3C7C" w:rsidP="00522794">
      <w:pPr>
        <w:jc w:val="both"/>
        <w:rPr>
          <w:rFonts w:ascii="Times New Roman" w:hAnsi="Times New Roman" w:cs="Times New Roman"/>
          <w:sz w:val="20"/>
          <w:szCs w:val="20"/>
        </w:rPr>
      </w:pPr>
      <w:r w:rsidRPr="000A3C7C">
        <w:t>Singapore adopts an integrated approach to the care, treatment and support of persons living with HIV, regardless of gender. The majority of HIV patients are managed as outpatients in public hospitals by a multi-disciplinary team that provides medical and nursing care, social services, counselling and other support.</w:t>
      </w:r>
      <w:r>
        <w:t xml:space="preserve"> </w:t>
      </w:r>
      <w:r w:rsidR="00FA674E" w:rsidRPr="000A3C7C">
        <w:t xml:space="preserve">Singapore recognises that with effective treatment, people living with HIV can lead normal and productive lives. </w:t>
      </w:r>
      <w:r w:rsidR="00FA674E">
        <w:t>MOH</w:t>
      </w:r>
      <w:r w:rsidR="00FA674E" w:rsidRPr="000A3C7C">
        <w:t xml:space="preserve"> takes steps to ensure that people living with HIV have access to necessary treatment.  </w:t>
      </w:r>
    </w:p>
    <w:p w14:paraId="4D031A0D" w14:textId="7AE6FF31" w:rsidR="005A0F59" w:rsidRDefault="005A0F59" w:rsidP="00522794">
      <w:pPr>
        <w:jc w:val="both"/>
      </w:pPr>
      <w:r w:rsidRPr="005A0F59">
        <w:t xml:space="preserve">Means-tested subsidies and other forms of financial assistance are also available to those in need. In an inpatient setting, patients receive </w:t>
      </w:r>
      <w:r w:rsidR="175EEBFC">
        <w:t>subsidies</w:t>
      </w:r>
      <w:r w:rsidRPr="005A0F59">
        <w:t xml:space="preserve"> according to the public hospital subsidy framework. As of 1 September 2020, 16 antiretroviral drugs have been placed on the Standard Drug List (SDL) and Medication Assistance Fund (MAF).</w:t>
      </w:r>
      <w:r w:rsidR="00EC76C5">
        <w:t xml:space="preserve"> </w:t>
      </w:r>
      <w:r w:rsidRPr="005A0F59">
        <w:t xml:space="preserve">Singaporeans who require further assistance can receive support through </w:t>
      </w:r>
      <w:proofErr w:type="spellStart"/>
      <w:r w:rsidRPr="005A0F59">
        <w:t>MediFund</w:t>
      </w:r>
      <w:proofErr w:type="spellEnd"/>
      <w:r w:rsidRPr="005A0F59">
        <w:t xml:space="preserve">, which is an endowment fund set up by the Government to support the medical bills of needy Singaporeans. Long Term Visit Pass (LTVP) holders who experience financial difficulties for their medical treatment can approach Medical Social Workers to work out viable financial arrangements such as instalment payments. </w:t>
      </w:r>
    </w:p>
    <w:p w14:paraId="7FEA5756" w14:textId="3412F170" w:rsidR="00D66739" w:rsidRDefault="005A0F59" w:rsidP="00BE1DAB">
      <w:r w:rsidRPr="005A0F59">
        <w:t>The Government funds programmes at hospitals to enhance medical management, social support, and counselling for people living with HIV. Apart from healthcare institutions, people living with HIV are also able to obtain support from community-based organisations.</w:t>
      </w:r>
    </w:p>
    <w:p w14:paraId="48C4CB91" w14:textId="362310D7" w:rsidR="005125A2" w:rsidRPr="00F44592" w:rsidRDefault="00DD6AEE" w:rsidP="0045392A">
      <w:pPr>
        <w:pStyle w:val="ListParagraph"/>
        <w:numPr>
          <w:ilvl w:val="0"/>
          <w:numId w:val="17"/>
        </w:numPr>
        <w:rPr>
          <w:b/>
          <w:bCs/>
        </w:rPr>
      </w:pPr>
      <w:r>
        <w:rPr>
          <w:b/>
          <w:bCs/>
        </w:rPr>
        <w:t>Strengthening support for</w:t>
      </w:r>
      <w:r w:rsidR="005125A2" w:rsidRPr="00F44592">
        <w:rPr>
          <w:b/>
          <w:bCs/>
        </w:rPr>
        <w:t xml:space="preserve"> maternal health</w:t>
      </w:r>
      <w:r w:rsidR="00B00BE8" w:rsidRPr="00F44592">
        <w:rPr>
          <w:b/>
          <w:bCs/>
        </w:rPr>
        <w:t xml:space="preserve"> </w:t>
      </w:r>
    </w:p>
    <w:p w14:paraId="6CB6AA05" w14:textId="3FFE9D97" w:rsidR="0034611F" w:rsidRPr="00C90180" w:rsidRDefault="0034611F" w:rsidP="0034611F">
      <w:pPr>
        <w:spacing w:line="259" w:lineRule="auto"/>
        <w:jc w:val="both"/>
        <w:rPr>
          <w:rFonts w:cstheme="minorHAnsi"/>
        </w:rPr>
      </w:pPr>
      <w:r>
        <w:t xml:space="preserve">Significant efforts have been made to support our children and their families’ health, including Antenatal services, Childhood Developmental Screenings and Vaccinations, </w:t>
      </w:r>
      <w:r w:rsidR="006B1E95">
        <w:t xml:space="preserve">and </w:t>
      </w:r>
      <w:r>
        <w:t xml:space="preserve">School Health Service. Nonetheless, more could be done to leverage the whole-of-society effort to address the multi-faceted nature of child and </w:t>
      </w:r>
      <w:r w:rsidRPr="00C90180">
        <w:rPr>
          <w:rFonts w:cstheme="minorHAnsi"/>
        </w:rPr>
        <w:t>maternal health issues, to achieve healthier future generations.</w:t>
      </w:r>
    </w:p>
    <w:p w14:paraId="54D74551" w14:textId="1445B3C8" w:rsidR="0034611F" w:rsidRPr="00522794" w:rsidRDefault="0034611F" w:rsidP="00522794">
      <w:pPr>
        <w:spacing w:line="259" w:lineRule="auto"/>
        <w:jc w:val="both"/>
      </w:pPr>
      <w:r w:rsidRPr="00476D6F">
        <w:rPr>
          <w:rFonts w:cstheme="minorHAnsi"/>
        </w:rPr>
        <w:t xml:space="preserve">As such, an inter-agency taskforce was </w:t>
      </w:r>
      <w:r w:rsidR="00476D6F">
        <w:rPr>
          <w:rFonts w:cstheme="minorHAnsi"/>
        </w:rPr>
        <w:t>convened</w:t>
      </w:r>
      <w:r w:rsidRPr="00476D6F">
        <w:rPr>
          <w:rFonts w:cstheme="minorHAnsi"/>
        </w:rPr>
        <w:t xml:space="preserve"> in January 2021 to oversee the development of a 5-year Child </w:t>
      </w:r>
      <w:r w:rsidR="00476D6F">
        <w:rPr>
          <w:rFonts w:cstheme="minorHAnsi"/>
        </w:rPr>
        <w:t>and</w:t>
      </w:r>
      <w:r w:rsidR="00476D6F" w:rsidRPr="00476D6F">
        <w:rPr>
          <w:rFonts w:cstheme="minorHAnsi"/>
        </w:rPr>
        <w:t xml:space="preserve"> </w:t>
      </w:r>
      <w:r w:rsidRPr="00476D6F">
        <w:rPr>
          <w:rFonts w:cstheme="minorHAnsi"/>
        </w:rPr>
        <w:t xml:space="preserve">Maternal Health </w:t>
      </w:r>
      <w:r w:rsidR="00476D6F">
        <w:rPr>
          <w:rFonts w:cstheme="minorHAnsi"/>
        </w:rPr>
        <w:t>&amp;</w:t>
      </w:r>
      <w:r w:rsidR="00476D6F" w:rsidRPr="00476D6F">
        <w:rPr>
          <w:rFonts w:cstheme="minorHAnsi"/>
        </w:rPr>
        <w:t xml:space="preserve"> </w:t>
      </w:r>
      <w:r w:rsidRPr="00476D6F">
        <w:rPr>
          <w:rFonts w:cstheme="minorHAnsi"/>
        </w:rPr>
        <w:t xml:space="preserve">Well-being (CAMH) Strategy and Action Plan. </w:t>
      </w:r>
      <w:r w:rsidR="00476D6F">
        <w:t>The Taskforce sought to look at cross-cutting issues that would require multi-agency, cross-domain effort to collectively address. In its report published on 14 June 2024, t</w:t>
      </w:r>
      <w:r w:rsidR="00476D6F" w:rsidRPr="00284406">
        <w:t xml:space="preserve">he Taskforce has </w:t>
      </w:r>
      <w:r w:rsidR="00476D6F">
        <w:t xml:space="preserve">put forward nine key recommendations centred around three key thrusts under the Strategy, which </w:t>
      </w:r>
      <w:r w:rsidR="00476D6F" w:rsidRPr="00284406">
        <w:t xml:space="preserve">have been translated into 48 initiatives </w:t>
      </w:r>
      <w:r w:rsidR="00476D6F" w:rsidRPr="001B0181">
        <w:t>to drive better outcomes for children and their families, and maximise the development of our young</w:t>
      </w:r>
      <w:r w:rsidR="00476D6F" w:rsidRPr="00284406">
        <w:t xml:space="preserve">. 28 out of the 48 initiatives have been implemented, </w:t>
      </w:r>
      <w:r w:rsidR="00476D6F">
        <w:t>with</w:t>
      </w:r>
      <w:r w:rsidR="00476D6F" w:rsidRPr="00284406">
        <w:t xml:space="preserve"> the remainder </w:t>
      </w:r>
      <w:r w:rsidR="00476D6F">
        <w:t>progressively implemented over the next two years</w:t>
      </w:r>
      <w:r w:rsidR="00476D6F" w:rsidRPr="00284406">
        <w:t>.</w:t>
      </w:r>
    </w:p>
    <w:p w14:paraId="6626CCCB" w14:textId="72653C82" w:rsidR="0034611F" w:rsidRDefault="0034611F" w:rsidP="0034611F">
      <w:pPr>
        <w:spacing w:line="259" w:lineRule="auto"/>
        <w:jc w:val="both"/>
      </w:pPr>
      <w:r>
        <w:t>The Strategy and Action Plan recommends policies, solutions</w:t>
      </w:r>
      <w:r w:rsidR="00E05979">
        <w:t>,</w:t>
      </w:r>
      <w:r>
        <w:t xml:space="preserve"> and programmes to support women to enhance their physical health, mental health and overall well-being starting from the preconception stage through pregnancy and the post-natal stage into motherhood. </w:t>
      </w:r>
      <w:r w:rsidR="00822B49">
        <w:t>It also takes a life course approach and addresses key health risks, issues</w:t>
      </w:r>
      <w:r w:rsidR="00E05979">
        <w:t>,</w:t>
      </w:r>
      <w:r w:rsidR="00822B49">
        <w:t xml:space="preserve"> and wider determinants of health for mothers and their children of different age segments, spanning from pre-conception phase till the age of 18 years old.</w:t>
      </w:r>
    </w:p>
    <w:p w14:paraId="4C5EB42B" w14:textId="5E1DE77B" w:rsidR="00D66739" w:rsidRDefault="0034611F" w:rsidP="0034611F">
      <w:pPr>
        <w:spacing w:line="259" w:lineRule="auto"/>
        <w:jc w:val="both"/>
      </w:pPr>
      <w:r>
        <w:t>Through this effort, every pregnant woman will have equitable access to quality maternal care services including pre-natal check-ups, obstetrics services, neo-natal care and breastfeeding and lactation support.</w:t>
      </w:r>
    </w:p>
    <w:p w14:paraId="23D4D9CB" w14:textId="612FE97B" w:rsidR="005125A2" w:rsidRPr="00F44592" w:rsidRDefault="00DD6AEE" w:rsidP="0045392A">
      <w:pPr>
        <w:pStyle w:val="ListParagraph"/>
        <w:numPr>
          <w:ilvl w:val="0"/>
          <w:numId w:val="17"/>
        </w:numPr>
        <w:rPr>
          <w:b/>
          <w:bCs/>
        </w:rPr>
      </w:pPr>
      <w:r>
        <w:rPr>
          <w:b/>
          <w:bCs/>
        </w:rPr>
        <w:t>Strengthening</w:t>
      </w:r>
      <w:r w:rsidR="00803638">
        <w:rPr>
          <w:b/>
          <w:bCs/>
        </w:rPr>
        <w:t xml:space="preserve"> healthcare</w:t>
      </w:r>
      <w:r>
        <w:rPr>
          <w:b/>
          <w:bCs/>
        </w:rPr>
        <w:t xml:space="preserve"> support for</w:t>
      </w:r>
      <w:r w:rsidR="005125A2" w:rsidRPr="00F44592">
        <w:rPr>
          <w:b/>
          <w:bCs/>
        </w:rPr>
        <w:t xml:space="preserve"> older women</w:t>
      </w:r>
      <w:r w:rsidR="00A01BD8" w:rsidRPr="00F44592">
        <w:rPr>
          <w:b/>
          <w:bCs/>
        </w:rPr>
        <w:t xml:space="preserve"> </w:t>
      </w:r>
    </w:p>
    <w:p w14:paraId="3A4585ED" w14:textId="77777777" w:rsidR="00771D19" w:rsidRDefault="00771D19" w:rsidP="007F68CD">
      <w:pPr>
        <w:spacing w:line="259" w:lineRule="auto"/>
        <w:jc w:val="both"/>
      </w:pPr>
      <w:r w:rsidRPr="00771D19">
        <w:lastRenderedPageBreak/>
        <w:t xml:space="preserve">The Ministry of Health is committed to keeping healthcare affordable for all Singaporeans, including older women, and will be conducting a review of MediShield Life, a national health insurance scheme that covers major health episodes which usually occur unexpectedly in older persons. </w:t>
      </w:r>
    </w:p>
    <w:p w14:paraId="4C690443" w14:textId="6B6C5686" w:rsidR="00771D19" w:rsidRDefault="00771D19" w:rsidP="007F68CD">
      <w:pPr>
        <w:spacing w:line="259" w:lineRule="auto"/>
        <w:jc w:val="both"/>
      </w:pPr>
      <w:r w:rsidRPr="00771D19">
        <w:t>To better protect against catastrophic healthcare expenditures, the Ministry of Health will study increasing claim limits for surgeries and hospital stays, enhancing coverage of outpatient treatments, and expanding coverage to new groundbreaking treatments (such as Cell, Tissue</w:t>
      </w:r>
      <w:r w:rsidR="00E05979" w:rsidRPr="00771D19">
        <w:t>,</w:t>
      </w:r>
      <w:r w:rsidRPr="00771D19">
        <w:t xml:space="preserve"> and Gene Therapy Products). </w:t>
      </w:r>
    </w:p>
    <w:p w14:paraId="34D92338" w14:textId="5F0D70D0" w:rsidR="00771D19" w:rsidRDefault="00771D19" w:rsidP="007F68CD">
      <w:pPr>
        <w:spacing w:line="259" w:lineRule="auto"/>
        <w:jc w:val="both"/>
      </w:pPr>
      <w:r w:rsidRPr="00771D19">
        <w:t xml:space="preserve">MediShield Life premiums are kept affordable for older cohorts through a combination of means-tested premium subsidies and </w:t>
      </w:r>
      <w:proofErr w:type="spellStart"/>
      <w:r w:rsidRPr="00771D19">
        <w:t>MediSave</w:t>
      </w:r>
      <w:proofErr w:type="spellEnd"/>
      <w:r w:rsidRPr="00771D19">
        <w:t xml:space="preserve"> top-ups under the Pioneer Generation Package, Merdeka Generation package, </w:t>
      </w:r>
      <w:proofErr w:type="spellStart"/>
      <w:r w:rsidRPr="00771D19">
        <w:t>Majulah</w:t>
      </w:r>
      <w:proofErr w:type="spellEnd"/>
      <w:r w:rsidRPr="00771D19">
        <w:t xml:space="preserve"> Package, and the Goods and Services Tax Voucher scheme. Singaporeans who face difficulty paying their premiums beyond </w:t>
      </w:r>
      <w:r w:rsidR="00F84DFE">
        <w:t>G</w:t>
      </w:r>
      <w:r w:rsidRPr="00771D19">
        <w:t xml:space="preserve">overnment subsidies, </w:t>
      </w:r>
      <w:proofErr w:type="spellStart"/>
      <w:r w:rsidRPr="00771D19">
        <w:t>MediSave</w:t>
      </w:r>
      <w:proofErr w:type="spellEnd"/>
      <w:r w:rsidRPr="00771D19">
        <w:t xml:space="preserve"> and family support can also apply for Additional Premium Support. No one will lose MediShield Life coverage due to genuine inability to pay premiums.</w:t>
      </w:r>
    </w:p>
    <w:p w14:paraId="1199B9EF" w14:textId="762A0BF7" w:rsidR="00782789" w:rsidRDefault="00D50587" w:rsidP="007F68CD">
      <w:pPr>
        <w:spacing w:line="259" w:lineRule="auto"/>
        <w:jc w:val="both"/>
      </w:pPr>
      <w:r>
        <w:t>Seniors</w:t>
      </w:r>
      <w:r w:rsidR="007F68CD">
        <w:t>, including older women, can also receive additional support through Active Ageing Centres, located island-wide within the communities. Singapore is expanding the number of Active Ageing Centres and its service offerings to build strong networks for seniors, connecting them with suitable social and lifestyle activities geared to supporting an active and healthy journey even as they age.</w:t>
      </w:r>
    </w:p>
    <w:p w14:paraId="0B82158F" w14:textId="5F8A0201" w:rsidR="00F44592" w:rsidRDefault="00782789" w:rsidP="007F68CD">
      <w:pPr>
        <w:spacing w:line="259" w:lineRule="auto"/>
        <w:jc w:val="both"/>
      </w:pPr>
      <w:r>
        <w:t>T</w:t>
      </w:r>
      <w:r w:rsidRPr="0013015E">
        <w:t>he Live Well Age Well programme (LWAW) that is jointly implemented by the Health Promotion Board and People’s Association offers activities such as physical exercises, as well as educational sessions on topics like healthy eating and mental health. Most initiatives under LWAW are well-</w:t>
      </w:r>
      <w:r w:rsidR="00375C14">
        <w:t>attended by older females</w:t>
      </w:r>
      <w:r w:rsidRPr="0013015E">
        <w:t>, e.g. Move It, Feel Strong group exercise sessions and the Healthy Ageing Promotion Programme for You (HAPPY)</w:t>
      </w:r>
      <w:r w:rsidR="00D124FA">
        <w:t xml:space="preserve"> to improve frail seniors’ functional ability through dual tasking exercises</w:t>
      </w:r>
      <w:r w:rsidRPr="0013015E">
        <w:t>.</w:t>
      </w:r>
    </w:p>
    <w:p w14:paraId="7D7133AD" w14:textId="1F74E63D" w:rsidR="00A04160" w:rsidRPr="00F44592" w:rsidRDefault="00A04160" w:rsidP="0045392A">
      <w:pPr>
        <w:pStyle w:val="ListParagraph"/>
        <w:numPr>
          <w:ilvl w:val="0"/>
          <w:numId w:val="17"/>
        </w:numPr>
        <w:rPr>
          <w:b/>
          <w:bCs/>
        </w:rPr>
      </w:pPr>
      <w:r w:rsidRPr="00F44592">
        <w:rPr>
          <w:b/>
          <w:bCs/>
        </w:rPr>
        <w:t>COVID-19 measures</w:t>
      </w:r>
      <w:r w:rsidR="00C64DF9" w:rsidRPr="00F44592">
        <w:rPr>
          <w:b/>
          <w:bCs/>
        </w:rPr>
        <w:t xml:space="preserve"> </w:t>
      </w:r>
      <w:r w:rsidR="00034D24">
        <w:rPr>
          <w:b/>
          <w:bCs/>
        </w:rPr>
        <w:t>for healthcare</w:t>
      </w:r>
      <w:r w:rsidR="00C64DF9" w:rsidRPr="00F44592">
        <w:rPr>
          <w:b/>
          <w:bCs/>
        </w:rPr>
        <w:t xml:space="preserve"> </w:t>
      </w:r>
    </w:p>
    <w:p w14:paraId="0AD88542" w14:textId="2CFFB817" w:rsidR="00DD690B" w:rsidRDefault="00DD690B" w:rsidP="00DD690B">
      <w:pPr>
        <w:spacing w:line="259" w:lineRule="auto"/>
        <w:jc w:val="both"/>
      </w:pPr>
      <w:r w:rsidRPr="006C58C0">
        <w:t>Singapore has implemented several measures to mitigate the long-term negative impact of COVID-19 on women's physical and mental health. These measures include:</w:t>
      </w:r>
    </w:p>
    <w:p w14:paraId="346C0F77" w14:textId="77777777" w:rsidR="00DD690B" w:rsidRDefault="00DD690B" w:rsidP="0045392A">
      <w:pPr>
        <w:pStyle w:val="ListParagraph"/>
        <w:numPr>
          <w:ilvl w:val="0"/>
          <w:numId w:val="1"/>
        </w:numPr>
        <w:spacing w:line="259" w:lineRule="auto"/>
        <w:jc w:val="both"/>
      </w:pPr>
      <w:r>
        <w:t>Ensuring healthcare services remain accessible to all, including women, during the pandemic, by maintaining essential healthcare services and providing telemedicine options for continuity of care.</w:t>
      </w:r>
    </w:p>
    <w:p w14:paraId="572975C0" w14:textId="77777777" w:rsidR="00DD690B" w:rsidRDefault="00DD690B" w:rsidP="0045392A">
      <w:pPr>
        <w:pStyle w:val="ListParagraph"/>
        <w:numPr>
          <w:ilvl w:val="0"/>
          <w:numId w:val="1"/>
        </w:numPr>
        <w:spacing w:line="259" w:lineRule="auto"/>
        <w:jc w:val="both"/>
      </w:pPr>
      <w:r>
        <w:t xml:space="preserve">Providing mental health support to address the psychological impact of the pandemic on the population, including women, such as through helplines, online </w:t>
      </w:r>
      <w:proofErr w:type="spellStart"/>
      <w:r>
        <w:t>counseling</w:t>
      </w:r>
      <w:proofErr w:type="spellEnd"/>
      <w:r>
        <w:t xml:space="preserve"> services, and mental well-being programs.</w:t>
      </w:r>
    </w:p>
    <w:p w14:paraId="6527869A" w14:textId="77777777" w:rsidR="00DD690B" w:rsidRDefault="00DD690B" w:rsidP="0045392A">
      <w:pPr>
        <w:pStyle w:val="ListParagraph"/>
        <w:numPr>
          <w:ilvl w:val="0"/>
          <w:numId w:val="1"/>
        </w:numPr>
        <w:spacing w:line="259" w:lineRule="auto"/>
        <w:jc w:val="both"/>
      </w:pPr>
      <w:r>
        <w:t>Providing gender-sensitive services to address the challenges commonly faced by women, such as those related to caregiving responsibilities or perinatal health and mental health concerns.</w:t>
      </w:r>
    </w:p>
    <w:p w14:paraId="39962540" w14:textId="77777777" w:rsidR="00201851" w:rsidRDefault="00201851" w:rsidP="0045392A">
      <w:pPr>
        <w:pStyle w:val="ListParagraph"/>
        <w:numPr>
          <w:ilvl w:val="0"/>
          <w:numId w:val="1"/>
        </w:numPr>
        <w:spacing w:line="259" w:lineRule="auto"/>
        <w:jc w:val="both"/>
      </w:pPr>
      <w:r w:rsidRPr="00201851">
        <w:t>Raising awareness about the importance of the individual’s physical and mental health during the pandemic, including that of women’s, and providing information on available support services.</w:t>
      </w:r>
    </w:p>
    <w:p w14:paraId="4D3E77A5" w14:textId="67CB3B69" w:rsidR="00DD690B" w:rsidRPr="002A2EB5" w:rsidRDefault="00201851" w:rsidP="0045392A">
      <w:pPr>
        <w:pStyle w:val="ListParagraph"/>
        <w:numPr>
          <w:ilvl w:val="0"/>
          <w:numId w:val="1"/>
        </w:numPr>
        <w:spacing w:line="259" w:lineRule="auto"/>
        <w:jc w:val="both"/>
      </w:pPr>
      <w:r w:rsidRPr="00201851">
        <w:t>Mobili</w:t>
      </w:r>
      <w:r w:rsidR="00852B6A">
        <w:t>s</w:t>
      </w:r>
      <w:r w:rsidRPr="00201851">
        <w:t>ing community organi</w:t>
      </w:r>
      <w:r w:rsidR="007B1874">
        <w:t>s</w:t>
      </w:r>
      <w:r w:rsidRPr="00201851">
        <w:t>ations and support groups to provide assistance and support to individuals in need, including women, and ensuring access to necessary resources and information</w:t>
      </w:r>
      <w:r w:rsidR="00DD690B">
        <w:t>.</w:t>
      </w:r>
    </w:p>
    <w:p w14:paraId="1B2C30A6" w14:textId="47088C0D" w:rsidR="00903224" w:rsidRDefault="00903224" w:rsidP="00D3336B">
      <w:pPr>
        <w:jc w:val="both"/>
      </w:pPr>
      <w:r>
        <w:t xml:space="preserve">The COVID-19 pandemic brought to light many mental health and well-being issues, including those relating to workplaces. The Tripartite Partners worked closely to better support the mental well-being of workers by encouraging employers to provide mental well-being support in workplaces. These include: </w:t>
      </w:r>
    </w:p>
    <w:p w14:paraId="09531FCF" w14:textId="4DBF021E" w:rsidR="00903224" w:rsidRDefault="00903224" w:rsidP="0045392A">
      <w:pPr>
        <w:pStyle w:val="ListParagraph"/>
        <w:numPr>
          <w:ilvl w:val="0"/>
          <w:numId w:val="1"/>
        </w:numPr>
        <w:jc w:val="both"/>
      </w:pPr>
      <w:r>
        <w:lastRenderedPageBreak/>
        <w:t>Tripartite Advisory on Mental Health and Well-Being at Workplaces to provide practical guidance on measures that employers can adopt to support their employees’ mental well-being. The advisory includes an updated list of Employee Assistance Programme (EAP) providers that is curated to increase awareness of EAP services and their offerings (e.g. indicative pricings, languages offered, modes of counselling and areas of specialisations, beyond basic contact details).</w:t>
      </w:r>
    </w:p>
    <w:p w14:paraId="54F7F0F6" w14:textId="10DBEFA1" w:rsidR="00903224" w:rsidRDefault="00903224" w:rsidP="0045392A">
      <w:pPr>
        <w:pStyle w:val="ListParagraph"/>
        <w:numPr>
          <w:ilvl w:val="0"/>
          <w:numId w:val="1"/>
        </w:numPr>
        <w:jc w:val="both"/>
      </w:pPr>
      <w:r>
        <w:t>Playbook on Workplace Mental Well-being to supplement the Tripartite Advisory and provide actionable guidance (i.e. plug-and-play templates such as creating safe spaces for conversations and setting up a peer support system). These aim to help organisations implement initiatives to support their employees’ mental well-being.</w:t>
      </w:r>
    </w:p>
    <w:p w14:paraId="46E3E003" w14:textId="5C621F43" w:rsidR="00903224" w:rsidRDefault="00903224" w:rsidP="0045392A">
      <w:pPr>
        <w:pStyle w:val="ListParagraph"/>
        <w:numPr>
          <w:ilvl w:val="0"/>
          <w:numId w:val="1"/>
        </w:numPr>
        <w:jc w:val="both"/>
      </w:pPr>
      <w:proofErr w:type="spellStart"/>
      <w:r>
        <w:t>iWorkHealth</w:t>
      </w:r>
      <w:proofErr w:type="spellEnd"/>
      <w:r>
        <w:t xml:space="preserve"> Tool, a free online, psychosocial health assessment tool which companies can use to regularly assess their employees’ mental health and identify workplace stressors. (We have also launched the </w:t>
      </w:r>
      <w:proofErr w:type="spellStart"/>
      <w:r>
        <w:t>iWorkHealth</w:t>
      </w:r>
      <w:proofErr w:type="spellEnd"/>
      <w:r>
        <w:t xml:space="preserve"> Lite for companies to conduct pulse survey to monitor their employees’ state of mental well-being more frequently).</w:t>
      </w:r>
    </w:p>
    <w:p w14:paraId="2F15BA58" w14:textId="6D9772DD" w:rsidR="00903224" w:rsidRDefault="00903224" w:rsidP="0045392A">
      <w:pPr>
        <w:pStyle w:val="ListParagraph"/>
        <w:numPr>
          <w:ilvl w:val="0"/>
          <w:numId w:val="1"/>
        </w:numPr>
        <w:jc w:val="both"/>
      </w:pPr>
      <w:r>
        <w:t>Total Workplace Safety and Health (WSH) Programme to provide organisations free access to qualified consultants who can advise them on how to manage safety and health in an integrated way, and intervention programmes such as mental well-being workshops.</w:t>
      </w:r>
    </w:p>
    <w:p w14:paraId="277FB5E0" w14:textId="7F92CE92" w:rsidR="00A04160" w:rsidRDefault="00903224" w:rsidP="00522794">
      <w:pPr>
        <w:pStyle w:val="ListParagraph"/>
        <w:numPr>
          <w:ilvl w:val="0"/>
          <w:numId w:val="1"/>
        </w:numPr>
        <w:jc w:val="both"/>
      </w:pPr>
      <w:r>
        <w:t>Mental Health Toolkit for Employers to provide information and resources for employers to develop a mental health-friendly culture, recruit individuals with mental health conditions, as well as support their recovery and return to work.</w:t>
      </w:r>
    </w:p>
    <w:p w14:paraId="659B3FD1" w14:textId="0CE1DFA5" w:rsidR="001575E3" w:rsidRPr="00E33001" w:rsidRDefault="00F24B03" w:rsidP="00EA1097">
      <w:pPr>
        <w:pStyle w:val="Heading3"/>
        <w:rPr>
          <w:b/>
          <w:bCs/>
          <w:u w:val="single"/>
        </w:rPr>
      </w:pPr>
      <w:bookmarkStart w:id="20" w:name="_Toc169709883"/>
      <w:r>
        <w:rPr>
          <w:b/>
          <w:bCs/>
        </w:rPr>
        <w:t>E</w:t>
      </w:r>
      <w:r w:rsidR="00F44592">
        <w:rPr>
          <w:b/>
          <w:bCs/>
        </w:rPr>
        <w:t>.</w:t>
      </w:r>
      <w:r w:rsidR="00F44592">
        <w:rPr>
          <w:b/>
          <w:bCs/>
        </w:rPr>
        <w:tab/>
      </w:r>
      <w:r w:rsidR="001575E3" w:rsidRPr="00E33001">
        <w:rPr>
          <w:b/>
          <w:bCs/>
          <w:u w:val="single"/>
        </w:rPr>
        <w:t xml:space="preserve">Education </w:t>
      </w:r>
      <w:r w:rsidR="00706F72">
        <w:rPr>
          <w:b/>
          <w:bCs/>
          <w:u w:val="single"/>
        </w:rPr>
        <w:t>O</w:t>
      </w:r>
      <w:r w:rsidR="001575E3" w:rsidRPr="00E33001">
        <w:rPr>
          <w:b/>
          <w:bCs/>
          <w:u w:val="single"/>
        </w:rPr>
        <w:t>utcomes</w:t>
      </w:r>
      <w:r w:rsidR="00190A65" w:rsidRPr="00E33001">
        <w:rPr>
          <w:b/>
          <w:bCs/>
          <w:u w:val="single"/>
        </w:rPr>
        <w:t xml:space="preserve"> and </w:t>
      </w:r>
      <w:r w:rsidR="00706F72">
        <w:rPr>
          <w:b/>
          <w:bCs/>
          <w:u w:val="single"/>
        </w:rPr>
        <w:t>S</w:t>
      </w:r>
      <w:r w:rsidR="00190A65" w:rsidRPr="00E33001">
        <w:rPr>
          <w:b/>
          <w:bCs/>
          <w:u w:val="single"/>
        </w:rPr>
        <w:t>kills</w:t>
      </w:r>
      <w:bookmarkEnd w:id="20"/>
    </w:p>
    <w:p w14:paraId="009198F0" w14:textId="666DDA87" w:rsidR="00FB4D35" w:rsidRDefault="00BA534C" w:rsidP="00D3336B">
      <w:pPr>
        <w:spacing w:before="120" w:after="120"/>
        <w:jc w:val="both"/>
        <w:rPr>
          <w:rFonts w:cs="Arial"/>
          <w:lang w:eastAsia="en-SG"/>
        </w:rPr>
      </w:pPr>
      <w:r w:rsidRPr="00177FB9">
        <w:rPr>
          <w:rFonts w:cs="Arial"/>
          <w:lang w:eastAsia="en-SG"/>
        </w:rPr>
        <w:t xml:space="preserve">Singapore </w:t>
      </w:r>
      <w:r>
        <w:rPr>
          <w:rFonts w:cs="Arial"/>
          <w:lang w:eastAsia="en-SG"/>
        </w:rPr>
        <w:t>invests</w:t>
      </w:r>
      <w:r w:rsidRPr="00177FB9">
        <w:rPr>
          <w:rFonts w:cs="Arial"/>
          <w:lang w:eastAsia="en-SG"/>
        </w:rPr>
        <w:t xml:space="preserve"> heavily in education to help our people achieve their full potential</w:t>
      </w:r>
      <w:r w:rsidR="00D1227E">
        <w:rPr>
          <w:rFonts w:cs="Arial"/>
          <w:lang w:eastAsia="en-SG"/>
        </w:rPr>
        <w:t xml:space="preserve"> </w:t>
      </w:r>
      <w:r w:rsidR="00696C15">
        <w:rPr>
          <w:rFonts w:cs="Arial"/>
          <w:lang w:eastAsia="en-SG"/>
        </w:rPr>
        <w:t>(Table 8)</w:t>
      </w:r>
      <w:r w:rsidRPr="00177FB9">
        <w:rPr>
          <w:rFonts w:cs="Arial"/>
          <w:lang w:eastAsia="en-SG"/>
        </w:rPr>
        <w:t xml:space="preserve">. Our principles of meritocracy and equal access to opportunities have ensured that all Singaporeans have equal access to education. </w:t>
      </w:r>
    </w:p>
    <w:p w14:paraId="39E8860A" w14:textId="2FEA0FF7" w:rsidR="00392167" w:rsidRPr="00392167" w:rsidRDefault="00392167" w:rsidP="00FB4D35">
      <w:pPr>
        <w:spacing w:before="120" w:after="120"/>
        <w:rPr>
          <w:rFonts w:cstheme="minorHAnsi"/>
          <w:lang w:eastAsia="en-SG"/>
        </w:rPr>
      </w:pPr>
      <w:r w:rsidRPr="00392167">
        <w:rPr>
          <w:rFonts w:cstheme="minorHAnsi"/>
          <w:b/>
          <w:bCs/>
          <w:color w:val="000000"/>
          <w:sz w:val="23"/>
          <w:szCs w:val="23"/>
        </w:rPr>
        <w:t xml:space="preserve">Table </w:t>
      </w:r>
      <w:r w:rsidR="00E227C1">
        <w:rPr>
          <w:rFonts w:cstheme="minorHAnsi"/>
          <w:b/>
          <w:bCs/>
          <w:color w:val="000000"/>
          <w:sz w:val="23"/>
          <w:szCs w:val="23"/>
        </w:rPr>
        <w:t>8</w:t>
      </w:r>
      <w:r w:rsidRPr="00392167">
        <w:rPr>
          <w:rFonts w:cstheme="minorHAnsi"/>
          <w:b/>
          <w:bCs/>
          <w:color w:val="000000"/>
          <w:sz w:val="23"/>
          <w:szCs w:val="23"/>
        </w:rPr>
        <w:t>: Expenditure on Education (FY 20</w:t>
      </w:r>
      <w:r w:rsidR="0071071F">
        <w:rPr>
          <w:rFonts w:cstheme="minorHAnsi"/>
          <w:b/>
          <w:bCs/>
          <w:color w:val="000000"/>
          <w:sz w:val="23"/>
          <w:szCs w:val="23"/>
        </w:rPr>
        <w:t>1</w:t>
      </w:r>
      <w:r w:rsidRPr="00392167">
        <w:rPr>
          <w:rFonts w:cstheme="minorHAnsi"/>
          <w:b/>
          <w:bCs/>
          <w:color w:val="000000"/>
          <w:sz w:val="23"/>
          <w:szCs w:val="23"/>
        </w:rPr>
        <w:t>9 – FY 20</w:t>
      </w:r>
      <w:r w:rsidR="0071071F">
        <w:rPr>
          <w:rFonts w:cstheme="minorHAnsi"/>
          <w:b/>
          <w:bCs/>
          <w:color w:val="000000"/>
          <w:sz w:val="23"/>
          <w:szCs w:val="23"/>
        </w:rPr>
        <w:t>2</w:t>
      </w:r>
      <w:r w:rsidRPr="00392167">
        <w:rPr>
          <w:rFonts w:cstheme="minorHAnsi"/>
          <w:b/>
          <w:bCs/>
          <w:color w:val="000000"/>
          <w:sz w:val="23"/>
          <w:szCs w:val="23"/>
        </w:rPr>
        <w:t>3)</w:t>
      </w:r>
    </w:p>
    <w:tbl>
      <w:tblPr>
        <w:tblW w:w="86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132"/>
        <w:gridCol w:w="1400"/>
        <w:gridCol w:w="1400"/>
        <w:gridCol w:w="1400"/>
        <w:gridCol w:w="1893"/>
      </w:tblGrid>
      <w:tr w:rsidR="00523987" w:rsidRPr="00392167" w14:paraId="718AB83A" w14:textId="77777777" w:rsidTr="00522794">
        <w:trPr>
          <w:trHeight w:val="138"/>
        </w:trPr>
        <w:tc>
          <w:tcPr>
            <w:tcW w:w="1415" w:type="dxa"/>
          </w:tcPr>
          <w:p w14:paraId="6DF29847" w14:textId="428D8F29"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b/>
                <w:bCs/>
                <w:color w:val="000000"/>
                <w:sz w:val="23"/>
                <w:szCs w:val="23"/>
              </w:rPr>
              <w:t xml:space="preserve">Expenditure </w:t>
            </w:r>
          </w:p>
        </w:tc>
        <w:tc>
          <w:tcPr>
            <w:tcW w:w="1132" w:type="dxa"/>
          </w:tcPr>
          <w:p w14:paraId="0EC8CB11" w14:textId="75718ADE"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b/>
                <w:bCs/>
                <w:color w:val="000000"/>
                <w:sz w:val="23"/>
                <w:szCs w:val="23"/>
              </w:rPr>
              <w:t>FY 20</w:t>
            </w:r>
            <w:r w:rsidR="0071071F">
              <w:rPr>
                <w:rFonts w:cstheme="minorHAnsi"/>
                <w:b/>
                <w:bCs/>
                <w:color w:val="000000"/>
                <w:sz w:val="23"/>
                <w:szCs w:val="23"/>
              </w:rPr>
              <w:t>1</w:t>
            </w:r>
            <w:r w:rsidRPr="00392167">
              <w:rPr>
                <w:rFonts w:cstheme="minorHAnsi"/>
                <w:b/>
                <w:bCs/>
                <w:color w:val="000000"/>
                <w:sz w:val="23"/>
                <w:szCs w:val="23"/>
              </w:rPr>
              <w:t xml:space="preserve">9 </w:t>
            </w:r>
          </w:p>
        </w:tc>
        <w:tc>
          <w:tcPr>
            <w:tcW w:w="1400" w:type="dxa"/>
          </w:tcPr>
          <w:p w14:paraId="4822F49C" w14:textId="11350AC6"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b/>
                <w:bCs/>
                <w:color w:val="000000"/>
                <w:sz w:val="23"/>
                <w:szCs w:val="23"/>
              </w:rPr>
              <w:t>FY 20</w:t>
            </w:r>
            <w:r w:rsidR="0071071F">
              <w:rPr>
                <w:rFonts w:cstheme="minorHAnsi"/>
                <w:b/>
                <w:bCs/>
                <w:color w:val="000000"/>
                <w:sz w:val="23"/>
                <w:szCs w:val="23"/>
              </w:rPr>
              <w:t>2</w:t>
            </w:r>
            <w:r w:rsidRPr="00392167">
              <w:rPr>
                <w:rFonts w:cstheme="minorHAnsi"/>
                <w:b/>
                <w:bCs/>
                <w:color w:val="000000"/>
                <w:sz w:val="23"/>
                <w:szCs w:val="23"/>
              </w:rPr>
              <w:t xml:space="preserve">0 </w:t>
            </w:r>
          </w:p>
        </w:tc>
        <w:tc>
          <w:tcPr>
            <w:tcW w:w="1400" w:type="dxa"/>
          </w:tcPr>
          <w:p w14:paraId="000EEFAC" w14:textId="3DF03B02"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b/>
                <w:bCs/>
                <w:color w:val="000000"/>
                <w:sz w:val="23"/>
                <w:szCs w:val="23"/>
              </w:rPr>
              <w:t>FY 20</w:t>
            </w:r>
            <w:r w:rsidR="0071071F">
              <w:rPr>
                <w:rFonts w:cstheme="minorHAnsi"/>
                <w:b/>
                <w:bCs/>
                <w:color w:val="000000"/>
                <w:sz w:val="23"/>
                <w:szCs w:val="23"/>
              </w:rPr>
              <w:t>2</w:t>
            </w:r>
            <w:r w:rsidRPr="00392167">
              <w:rPr>
                <w:rFonts w:cstheme="minorHAnsi"/>
                <w:b/>
                <w:bCs/>
                <w:color w:val="000000"/>
                <w:sz w:val="23"/>
                <w:szCs w:val="23"/>
              </w:rPr>
              <w:t>1</w:t>
            </w:r>
          </w:p>
        </w:tc>
        <w:tc>
          <w:tcPr>
            <w:tcW w:w="1400" w:type="dxa"/>
          </w:tcPr>
          <w:p w14:paraId="580D5BA5" w14:textId="031CD31A"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b/>
                <w:bCs/>
                <w:color w:val="000000"/>
                <w:sz w:val="23"/>
                <w:szCs w:val="23"/>
              </w:rPr>
              <w:t>FY 20</w:t>
            </w:r>
            <w:r w:rsidR="0071071F">
              <w:rPr>
                <w:rFonts w:cstheme="minorHAnsi"/>
                <w:b/>
                <w:bCs/>
                <w:color w:val="000000"/>
                <w:sz w:val="23"/>
                <w:szCs w:val="23"/>
              </w:rPr>
              <w:t>2</w:t>
            </w:r>
            <w:r w:rsidRPr="00392167">
              <w:rPr>
                <w:rFonts w:cstheme="minorHAnsi"/>
                <w:b/>
                <w:bCs/>
                <w:color w:val="000000"/>
                <w:sz w:val="23"/>
                <w:szCs w:val="23"/>
              </w:rPr>
              <w:t xml:space="preserve">2 </w:t>
            </w:r>
          </w:p>
        </w:tc>
        <w:tc>
          <w:tcPr>
            <w:tcW w:w="1893" w:type="dxa"/>
          </w:tcPr>
          <w:p w14:paraId="1381B1B2" w14:textId="7D4900D7" w:rsidR="00392167" w:rsidRPr="00392167" w:rsidRDefault="00392167" w:rsidP="00392167">
            <w:pPr>
              <w:autoSpaceDE w:val="0"/>
              <w:autoSpaceDN w:val="0"/>
              <w:adjustRightInd w:val="0"/>
              <w:spacing w:after="0" w:line="240" w:lineRule="auto"/>
              <w:rPr>
                <w:color w:val="000000"/>
                <w:sz w:val="23"/>
                <w:szCs w:val="23"/>
              </w:rPr>
            </w:pPr>
            <w:r w:rsidRPr="0771ECBF">
              <w:rPr>
                <w:b/>
                <w:bCs/>
                <w:color w:val="000000" w:themeColor="text1"/>
                <w:sz w:val="23"/>
                <w:szCs w:val="23"/>
              </w:rPr>
              <w:t>FY 20</w:t>
            </w:r>
            <w:r w:rsidR="0071071F" w:rsidRPr="0771ECBF">
              <w:rPr>
                <w:b/>
                <w:bCs/>
                <w:color w:val="000000" w:themeColor="text1"/>
                <w:sz w:val="23"/>
                <w:szCs w:val="23"/>
              </w:rPr>
              <w:t>2</w:t>
            </w:r>
            <w:r w:rsidRPr="0771ECBF">
              <w:rPr>
                <w:b/>
                <w:bCs/>
                <w:color w:val="000000" w:themeColor="text1"/>
                <w:sz w:val="23"/>
                <w:szCs w:val="23"/>
              </w:rPr>
              <w:t>3</w:t>
            </w:r>
            <w:r w:rsidR="49799DCF" w:rsidRPr="0771ECBF">
              <w:rPr>
                <w:b/>
                <w:bCs/>
                <w:color w:val="000000" w:themeColor="text1"/>
                <w:sz w:val="23"/>
                <w:szCs w:val="23"/>
              </w:rPr>
              <w:t xml:space="preserve"> </w:t>
            </w:r>
            <w:r w:rsidR="2C3E4C54" w:rsidRPr="0771ECBF">
              <w:rPr>
                <w:b/>
                <w:bCs/>
                <w:color w:val="000000" w:themeColor="text1"/>
                <w:sz w:val="23"/>
                <w:szCs w:val="23"/>
              </w:rPr>
              <w:t>(R</w:t>
            </w:r>
            <w:r w:rsidR="4C8375BB" w:rsidRPr="0771ECBF">
              <w:rPr>
                <w:b/>
                <w:bCs/>
                <w:color w:val="000000" w:themeColor="text1"/>
                <w:sz w:val="23"/>
                <w:szCs w:val="23"/>
              </w:rPr>
              <w:t>evised</w:t>
            </w:r>
            <w:r w:rsidR="49A99E57" w:rsidRPr="0771ECBF">
              <w:rPr>
                <w:b/>
                <w:bCs/>
                <w:color w:val="000000" w:themeColor="text1"/>
                <w:sz w:val="23"/>
                <w:szCs w:val="23"/>
              </w:rPr>
              <w:t xml:space="preserve"> Estimates)</w:t>
            </w:r>
          </w:p>
        </w:tc>
      </w:tr>
      <w:tr w:rsidR="00523987" w:rsidRPr="00392167" w14:paraId="1E605DFB" w14:textId="77777777" w:rsidTr="00522794">
        <w:trPr>
          <w:trHeight w:val="250"/>
        </w:trPr>
        <w:tc>
          <w:tcPr>
            <w:tcW w:w="1415" w:type="dxa"/>
          </w:tcPr>
          <w:p w14:paraId="71CA7C9B" w14:textId="74B238FB" w:rsidR="00392167" w:rsidRPr="00392167" w:rsidRDefault="00392167" w:rsidP="00392167">
            <w:pPr>
              <w:autoSpaceDE w:val="0"/>
              <w:autoSpaceDN w:val="0"/>
              <w:adjustRightInd w:val="0"/>
              <w:spacing w:after="0" w:line="240" w:lineRule="auto"/>
              <w:rPr>
                <w:color w:val="000000"/>
                <w:sz w:val="23"/>
                <w:szCs w:val="23"/>
              </w:rPr>
            </w:pPr>
            <w:r w:rsidRPr="6CD86F19">
              <w:rPr>
                <w:color w:val="000000" w:themeColor="text1"/>
                <w:sz w:val="23"/>
                <w:szCs w:val="23"/>
              </w:rPr>
              <w:t xml:space="preserve">Expenditure </w:t>
            </w:r>
          </w:p>
        </w:tc>
        <w:tc>
          <w:tcPr>
            <w:tcW w:w="1132" w:type="dxa"/>
          </w:tcPr>
          <w:p w14:paraId="001B4A1D" w14:textId="5D02BF7C"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S$</w:t>
            </w:r>
            <w:r w:rsidR="007F76DA">
              <w:rPr>
                <w:rFonts w:cstheme="minorHAnsi"/>
                <w:color w:val="000000"/>
                <w:sz w:val="23"/>
                <w:szCs w:val="23"/>
              </w:rPr>
              <w:t>12,723</w:t>
            </w:r>
            <w:r w:rsidRPr="00392167">
              <w:rPr>
                <w:rFonts w:cstheme="minorHAnsi"/>
                <w:color w:val="000000"/>
                <w:sz w:val="23"/>
                <w:szCs w:val="23"/>
              </w:rPr>
              <w:t xml:space="preserve"> </w:t>
            </w:r>
          </w:p>
          <w:p w14:paraId="31F6DB21" w14:textId="77777777"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 xml:space="preserve">Million </w:t>
            </w:r>
          </w:p>
        </w:tc>
        <w:tc>
          <w:tcPr>
            <w:tcW w:w="1400" w:type="dxa"/>
          </w:tcPr>
          <w:p w14:paraId="66415B5A" w14:textId="2CBBE221"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S$</w:t>
            </w:r>
            <w:r w:rsidR="0036277A">
              <w:rPr>
                <w:rFonts w:cstheme="minorHAnsi"/>
                <w:color w:val="000000"/>
                <w:sz w:val="23"/>
                <w:szCs w:val="23"/>
              </w:rPr>
              <w:t>12</w:t>
            </w:r>
            <w:r w:rsidR="007779EC">
              <w:rPr>
                <w:rFonts w:cstheme="minorHAnsi"/>
                <w:color w:val="000000"/>
                <w:sz w:val="23"/>
                <w:szCs w:val="23"/>
              </w:rPr>
              <w:t>,260</w:t>
            </w:r>
            <w:r w:rsidRPr="00392167">
              <w:rPr>
                <w:rFonts w:cstheme="minorHAnsi"/>
                <w:color w:val="000000"/>
                <w:sz w:val="23"/>
                <w:szCs w:val="23"/>
              </w:rPr>
              <w:t xml:space="preserve"> </w:t>
            </w:r>
          </w:p>
          <w:p w14:paraId="745A762A" w14:textId="77777777"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 xml:space="preserve">Million </w:t>
            </w:r>
          </w:p>
        </w:tc>
        <w:tc>
          <w:tcPr>
            <w:tcW w:w="1400" w:type="dxa"/>
          </w:tcPr>
          <w:p w14:paraId="4D742DBB" w14:textId="21396113"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S$</w:t>
            </w:r>
            <w:r w:rsidR="00FC3432">
              <w:rPr>
                <w:rFonts w:cstheme="minorHAnsi"/>
                <w:color w:val="000000"/>
                <w:sz w:val="23"/>
                <w:szCs w:val="23"/>
              </w:rPr>
              <w:t>12,910</w:t>
            </w:r>
            <w:r w:rsidRPr="00392167">
              <w:rPr>
                <w:rFonts w:cstheme="minorHAnsi"/>
                <w:color w:val="000000"/>
                <w:sz w:val="23"/>
                <w:szCs w:val="23"/>
              </w:rPr>
              <w:t xml:space="preserve"> </w:t>
            </w:r>
          </w:p>
          <w:p w14:paraId="7D0B3E2A" w14:textId="77777777"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 xml:space="preserve">Million </w:t>
            </w:r>
          </w:p>
        </w:tc>
        <w:tc>
          <w:tcPr>
            <w:tcW w:w="1400" w:type="dxa"/>
          </w:tcPr>
          <w:p w14:paraId="335CCC4B" w14:textId="7440DF34"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S$1</w:t>
            </w:r>
            <w:r w:rsidR="0071071F">
              <w:rPr>
                <w:rFonts w:cstheme="minorHAnsi"/>
                <w:color w:val="000000"/>
                <w:sz w:val="23"/>
                <w:szCs w:val="23"/>
              </w:rPr>
              <w:t>3</w:t>
            </w:r>
            <w:r w:rsidRPr="00392167">
              <w:rPr>
                <w:rFonts w:cstheme="minorHAnsi"/>
                <w:color w:val="000000"/>
                <w:sz w:val="23"/>
                <w:szCs w:val="23"/>
              </w:rPr>
              <w:t>,</w:t>
            </w:r>
            <w:r w:rsidR="0071071F">
              <w:rPr>
                <w:rFonts w:cstheme="minorHAnsi"/>
                <w:color w:val="000000"/>
                <w:sz w:val="23"/>
                <w:szCs w:val="23"/>
              </w:rPr>
              <w:t>06</w:t>
            </w:r>
            <w:r w:rsidR="00363721">
              <w:rPr>
                <w:rFonts w:cstheme="minorHAnsi"/>
                <w:color w:val="000000"/>
                <w:sz w:val="23"/>
                <w:szCs w:val="23"/>
              </w:rPr>
              <w:t>1</w:t>
            </w:r>
            <w:r w:rsidRPr="00392167">
              <w:rPr>
                <w:rFonts w:cstheme="minorHAnsi"/>
                <w:color w:val="000000"/>
                <w:sz w:val="23"/>
                <w:szCs w:val="23"/>
              </w:rPr>
              <w:t xml:space="preserve"> </w:t>
            </w:r>
          </w:p>
          <w:p w14:paraId="0A16169E" w14:textId="77777777"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 xml:space="preserve">Million </w:t>
            </w:r>
          </w:p>
        </w:tc>
        <w:tc>
          <w:tcPr>
            <w:tcW w:w="1893" w:type="dxa"/>
          </w:tcPr>
          <w:p w14:paraId="0C6E55D0" w14:textId="1FEC5BE2"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S$1</w:t>
            </w:r>
            <w:r w:rsidR="0071071F">
              <w:rPr>
                <w:rFonts w:cstheme="minorHAnsi"/>
                <w:color w:val="000000"/>
                <w:sz w:val="23"/>
                <w:szCs w:val="23"/>
              </w:rPr>
              <w:t>4</w:t>
            </w:r>
            <w:r w:rsidRPr="00392167">
              <w:rPr>
                <w:rFonts w:cstheme="minorHAnsi"/>
                <w:color w:val="000000"/>
                <w:sz w:val="23"/>
                <w:szCs w:val="23"/>
              </w:rPr>
              <w:t>,</w:t>
            </w:r>
            <w:r w:rsidR="0071071F">
              <w:rPr>
                <w:rFonts w:cstheme="minorHAnsi"/>
                <w:color w:val="000000"/>
                <w:sz w:val="23"/>
                <w:szCs w:val="23"/>
              </w:rPr>
              <w:t>080</w:t>
            </w:r>
            <w:r w:rsidRPr="00392167">
              <w:rPr>
                <w:rFonts w:cstheme="minorHAnsi"/>
                <w:color w:val="000000"/>
                <w:sz w:val="23"/>
                <w:szCs w:val="23"/>
              </w:rPr>
              <w:t xml:space="preserve"> </w:t>
            </w:r>
          </w:p>
          <w:p w14:paraId="7FDEB8B1" w14:textId="77777777" w:rsidR="00392167" w:rsidRPr="00392167" w:rsidRDefault="00392167" w:rsidP="00392167">
            <w:pPr>
              <w:autoSpaceDE w:val="0"/>
              <w:autoSpaceDN w:val="0"/>
              <w:adjustRightInd w:val="0"/>
              <w:spacing w:after="0" w:line="240" w:lineRule="auto"/>
              <w:rPr>
                <w:rFonts w:cstheme="minorHAnsi"/>
                <w:color w:val="000000"/>
                <w:sz w:val="23"/>
                <w:szCs w:val="23"/>
              </w:rPr>
            </w:pPr>
            <w:r w:rsidRPr="00392167">
              <w:rPr>
                <w:rFonts w:cstheme="minorHAnsi"/>
                <w:color w:val="000000"/>
                <w:sz w:val="23"/>
                <w:szCs w:val="23"/>
              </w:rPr>
              <w:t xml:space="preserve">Million </w:t>
            </w:r>
          </w:p>
        </w:tc>
      </w:tr>
    </w:tbl>
    <w:p w14:paraId="711F7A68" w14:textId="552E00C2" w:rsidR="00333F3B" w:rsidRPr="00F24B03" w:rsidRDefault="00333F3B" w:rsidP="00F24B03">
      <w:pPr>
        <w:rPr>
          <w:rFonts w:cs="Arial"/>
          <w:sz w:val="20"/>
          <w:szCs w:val="20"/>
        </w:rPr>
      </w:pPr>
      <w:r w:rsidRPr="003B46C2">
        <w:rPr>
          <w:rFonts w:cs="Arial"/>
          <w:sz w:val="20"/>
          <w:szCs w:val="20"/>
        </w:rPr>
        <w:t xml:space="preserve">Source: Ministry of Finance </w:t>
      </w:r>
    </w:p>
    <w:p w14:paraId="6DA89EE5" w14:textId="7F703D4C" w:rsidR="00F24B03" w:rsidRPr="00392167" w:rsidRDefault="00BA534C" w:rsidP="00D3336B">
      <w:pPr>
        <w:spacing w:before="120" w:after="120"/>
        <w:jc w:val="both"/>
        <w:rPr>
          <w:rFonts w:cs="Arial"/>
          <w:lang w:eastAsia="en-SG"/>
        </w:rPr>
      </w:pPr>
      <w:r w:rsidRPr="00177FB9">
        <w:rPr>
          <w:rFonts w:cs="Arial"/>
          <w:lang w:eastAsia="en-SG"/>
        </w:rPr>
        <w:t xml:space="preserve">Women in Singapore have made great strides in education since independence. They have achieved high literacy rates: 96.4% in 2021 (for resident females aged 15 years and older) as compared to 32.8% in 1960. </w:t>
      </w:r>
      <w:r w:rsidRPr="005D1ECD">
        <w:rPr>
          <w:rFonts w:cs="Arial"/>
          <w:szCs w:val="24"/>
          <w:lang w:eastAsia="en-SG"/>
        </w:rPr>
        <w:t>The proportion of university graduates who are female has been stable at around 50% from 2013 to 2022, signalling there has been equal representation of male and female students in universities.</w:t>
      </w:r>
    </w:p>
    <w:p w14:paraId="2A0C53EC" w14:textId="0ECF4A3A" w:rsidR="00E268EA" w:rsidRPr="00F24B03" w:rsidRDefault="005D1734" w:rsidP="00F24B03">
      <w:pPr>
        <w:pStyle w:val="ListParagraph"/>
        <w:numPr>
          <w:ilvl w:val="0"/>
          <w:numId w:val="19"/>
        </w:numPr>
        <w:rPr>
          <w:b/>
        </w:rPr>
      </w:pPr>
      <w:r w:rsidRPr="00F44592">
        <w:rPr>
          <w:b/>
          <w:bCs/>
        </w:rPr>
        <w:t xml:space="preserve">Access to education </w:t>
      </w:r>
    </w:p>
    <w:p w14:paraId="10B106BC" w14:textId="171B4745" w:rsidR="00E268EA" w:rsidRDefault="00E268EA" w:rsidP="00E268EA">
      <w:pPr>
        <w:spacing w:after="0" w:line="276" w:lineRule="auto"/>
        <w:jc w:val="both"/>
        <w:rPr>
          <w:rFonts w:eastAsia="Times New Roman" w:cs="Arial"/>
          <w:lang w:eastAsia="zh-CN"/>
        </w:rPr>
      </w:pPr>
      <w:r w:rsidRPr="00827A54">
        <w:rPr>
          <w:rFonts w:eastAsia="Times New Roman" w:cs="Arial"/>
          <w:lang w:eastAsia="zh-CN"/>
        </w:rPr>
        <w:t xml:space="preserve">As education remains an important social leveller, we are committed to providing high-quality and affordable education to all Singaporeans, regardless of their background. Primary school education is compulsory for Singapore citizens under the Compulsory Education Act. Our enrolment and completion rates are high, and we have achieved near-universal completion of secondary education, with over 97% of each Primary 1 cohort progressing to a post-secondary education institution. Education is heavily subsidised at all levels for Singaporeans. Teachers are critical to the success of our education system. We </w:t>
      </w:r>
      <w:r w:rsidRPr="00827A54">
        <w:rPr>
          <w:rFonts w:eastAsia="Times New Roman" w:cs="Arial"/>
          <w:lang w:eastAsia="zh-CN"/>
        </w:rPr>
        <w:lastRenderedPageBreak/>
        <w:t>therefore invest in having a high</w:t>
      </w:r>
      <w:r w:rsidR="00F24B03" w:rsidRPr="00827A54">
        <w:rPr>
          <w:rFonts w:eastAsia="Times New Roman" w:cs="Arial"/>
          <w:lang w:eastAsia="zh-CN"/>
        </w:rPr>
        <w:t>-</w:t>
      </w:r>
      <w:r w:rsidRPr="00827A54">
        <w:rPr>
          <w:rFonts w:eastAsia="Times New Roman" w:cs="Arial"/>
          <w:lang w:eastAsia="zh-CN"/>
        </w:rPr>
        <w:t>quality teaching workforce by ensuring that the teaching profession is attractive and respected and provide our teachers with professional development opportunities for their continued growth and development.</w:t>
      </w:r>
    </w:p>
    <w:p w14:paraId="34D36623" w14:textId="725C14D0" w:rsidR="00E268EA" w:rsidRDefault="00E268EA" w:rsidP="00E268EA">
      <w:pPr>
        <w:pStyle w:val="ListParagraph"/>
        <w:spacing w:before="120" w:after="120"/>
        <w:ind w:left="0"/>
        <w:jc w:val="both"/>
        <w:rPr>
          <w:rFonts w:eastAsia="Times New Roman" w:cs="Arial"/>
          <w:lang w:eastAsia="zh-CN"/>
        </w:rPr>
      </w:pPr>
      <w:r w:rsidRPr="00162897">
        <w:rPr>
          <w:rFonts w:eastAsia="Times New Roman" w:cs="Arial"/>
          <w:lang w:eastAsia="zh-CN"/>
        </w:rPr>
        <w:t>Our schools also actively partner with other agencies and community stakeholders to provide target academic, social-emotional and financial support for students from disadvantaged families. A key initiative is the Uplifting Pupils in Life and Inspiring Families Taskforce (UPLIFT), which was set up in October 2018 to strengthen support for disadvantaged students and their families through providing after-school care and support, as well as facilitating stronger school-community partnerships.</w:t>
      </w:r>
    </w:p>
    <w:p w14:paraId="39A6295D" w14:textId="77777777" w:rsidR="00E268EA" w:rsidRDefault="00E268EA" w:rsidP="00E268EA">
      <w:pPr>
        <w:pStyle w:val="ListParagraph"/>
        <w:spacing w:before="120" w:after="120"/>
        <w:ind w:left="0"/>
        <w:jc w:val="both"/>
        <w:rPr>
          <w:rFonts w:cs="Arial"/>
          <w:lang w:eastAsia="en-SG"/>
        </w:rPr>
      </w:pPr>
    </w:p>
    <w:p w14:paraId="1C4F4562" w14:textId="5B42727C" w:rsidR="006201B6" w:rsidRPr="00C04E08" w:rsidRDefault="00086D01" w:rsidP="00D3336B">
      <w:pPr>
        <w:pStyle w:val="ListParagraph"/>
        <w:spacing w:before="120" w:after="120"/>
        <w:ind w:left="0"/>
        <w:jc w:val="both"/>
        <w:rPr>
          <w:rFonts w:cs="Arial"/>
          <w:lang w:eastAsia="en-SG"/>
        </w:rPr>
      </w:pPr>
      <w:r w:rsidRPr="00086D01">
        <w:rPr>
          <w:rFonts w:cs="Arial"/>
          <w:lang w:eastAsia="en-SG"/>
        </w:rPr>
        <w:t>Through these efforts, about eight in 10 students with attendance issues in 2020 improved their attendance to 90% or better in 2021.</w:t>
      </w:r>
      <w:r w:rsidR="00C13879">
        <w:rPr>
          <w:rFonts w:cs="Arial"/>
          <w:lang w:eastAsia="en-SG"/>
        </w:rPr>
        <w:t xml:space="preserve"> </w:t>
      </w:r>
    </w:p>
    <w:p w14:paraId="0E525591" w14:textId="77777777" w:rsidR="005D1734" w:rsidRPr="006201B6" w:rsidRDefault="005D1734" w:rsidP="00483144">
      <w:pPr>
        <w:pStyle w:val="ListParagraph"/>
        <w:ind w:left="0"/>
        <w:rPr>
          <w:b/>
          <w:bCs/>
        </w:rPr>
      </w:pPr>
    </w:p>
    <w:p w14:paraId="2A8C07AE" w14:textId="3B7A9D40" w:rsidR="00A00868" w:rsidRPr="00F44592" w:rsidRDefault="00C97852" w:rsidP="0045392A">
      <w:pPr>
        <w:pStyle w:val="ListParagraph"/>
        <w:numPr>
          <w:ilvl w:val="0"/>
          <w:numId w:val="19"/>
        </w:numPr>
        <w:rPr>
          <w:b/>
          <w:bCs/>
        </w:rPr>
      </w:pPr>
      <w:r w:rsidRPr="00F44592">
        <w:rPr>
          <w:b/>
          <w:bCs/>
        </w:rPr>
        <w:t>Eliminating gender stereotypes</w:t>
      </w:r>
    </w:p>
    <w:p w14:paraId="48D40B60" w14:textId="2420EB74" w:rsidR="00135EB0" w:rsidRDefault="00306712" w:rsidP="00D3336B">
      <w:pPr>
        <w:jc w:val="both"/>
      </w:pPr>
      <w:r w:rsidRPr="00E873AC">
        <w:t xml:space="preserve">Measures </w:t>
      </w:r>
      <w:r w:rsidR="00884980">
        <w:t>have been</w:t>
      </w:r>
      <w:r w:rsidRPr="00E873AC">
        <w:t xml:space="preserve"> taken to ensure that gender stereotypes </w:t>
      </w:r>
      <w:r w:rsidR="001C0FBF">
        <w:t>are</w:t>
      </w:r>
      <w:r w:rsidRPr="00E873AC">
        <w:t xml:space="preserve"> not perpetuated in the education system. </w:t>
      </w:r>
      <w:r w:rsidR="0050179D" w:rsidRPr="0050179D">
        <w:t xml:space="preserve">All students study the full range of subjects, including mathematics and science. </w:t>
      </w:r>
      <w:r w:rsidR="0050179D" w:rsidRPr="0050179D">
        <w:tab/>
        <w:t>In</w:t>
      </w:r>
      <w:r w:rsidR="009C1E11">
        <w:t xml:space="preserve"> </w:t>
      </w:r>
      <w:r w:rsidR="0050179D" w:rsidRPr="0050179D">
        <w:t xml:space="preserve">secondary </w:t>
      </w:r>
      <w:r w:rsidR="00A555DB">
        <w:t>schools</w:t>
      </w:r>
      <w:r w:rsidR="0050179D" w:rsidRPr="0050179D">
        <w:t xml:space="preserve"> and </w:t>
      </w:r>
      <w:r w:rsidR="00AE0DDE">
        <w:t>Institutes of Higher Learning (IHLs)</w:t>
      </w:r>
      <w:r w:rsidR="00AE0DDE" w:rsidRPr="0050179D">
        <w:t xml:space="preserve">, </w:t>
      </w:r>
      <w:r w:rsidR="00AE0DDE">
        <w:t>s</w:t>
      </w:r>
      <w:r w:rsidR="00AE0DDE">
        <w:rPr>
          <w:rFonts w:cs="Arial"/>
        </w:rPr>
        <w:t xml:space="preserve">tudents are encouraged to </w:t>
      </w:r>
      <w:r w:rsidR="00AE0DDE" w:rsidRPr="007978E6">
        <w:rPr>
          <w:rFonts w:cs="Arial"/>
        </w:rPr>
        <w:t>explore a variety of educational pathways and career options based on individual interest and aptitude; and not to be limited by gender stereotypes</w:t>
      </w:r>
      <w:r w:rsidR="00AE0DDE">
        <w:t>.</w:t>
      </w:r>
    </w:p>
    <w:p w14:paraId="6EE6BDCC" w14:textId="5C284E0F" w:rsidR="00135EB0" w:rsidRDefault="00306712" w:rsidP="00D3336B">
      <w:pPr>
        <w:jc w:val="both"/>
      </w:pPr>
      <w:r w:rsidRPr="00E873AC">
        <w:t xml:space="preserve">Women are well-represented in traditionally male-dominated courses; with close to 40% of students studying STEM subjects courses at our </w:t>
      </w:r>
      <w:r w:rsidR="00171375">
        <w:t>IHLs</w:t>
      </w:r>
      <w:r w:rsidRPr="00E873AC">
        <w:t xml:space="preserve"> being female. </w:t>
      </w:r>
      <w:r w:rsidR="00171375">
        <w:t>T</w:t>
      </w:r>
      <w:r w:rsidR="00135EB0">
        <w:t xml:space="preserve">argeted efforts through career fairs and Open Houses help to raise student awareness of STEM-related job opportunities and industries such as IT and cybersecurity. </w:t>
      </w:r>
    </w:p>
    <w:p w14:paraId="70700645" w14:textId="47626C6B" w:rsidR="00BD3883" w:rsidRPr="003A2B93" w:rsidRDefault="00BD3883" w:rsidP="00BD3883">
      <w:pPr>
        <w:jc w:val="both"/>
        <w:rPr>
          <w:lang w:eastAsia="en-SG"/>
        </w:rPr>
      </w:pPr>
      <w:r w:rsidRPr="001F0094">
        <w:rPr>
          <w:lang w:eastAsia="en-SG"/>
        </w:rPr>
        <w:t>Students are encouraged to deepen and pursue their interest in STEM through internships, competitions, talent development programmes including programmes designed specifically for talented female students, many of which are offered by partner organisations.</w:t>
      </w:r>
      <w:r>
        <w:rPr>
          <w:lang w:eastAsia="en-SG"/>
        </w:rPr>
        <w:t xml:space="preserve"> </w:t>
      </w:r>
      <w:r w:rsidRPr="003A2B93">
        <w:rPr>
          <w:lang w:eastAsia="en-SG"/>
        </w:rPr>
        <w:t xml:space="preserve">For example, </w:t>
      </w:r>
      <w:r>
        <w:rPr>
          <w:lang w:eastAsia="en-SG"/>
        </w:rPr>
        <w:t xml:space="preserve">as part of </w:t>
      </w:r>
      <w:r w:rsidR="00452A2B">
        <w:rPr>
          <w:lang w:eastAsia="en-SG"/>
        </w:rPr>
        <w:t>IMDA’s</w:t>
      </w:r>
      <w:r w:rsidRPr="003A2B93">
        <w:rPr>
          <w:lang w:eastAsia="en-SG"/>
        </w:rPr>
        <w:t xml:space="preserve"> Singapore Women in Tech</w:t>
      </w:r>
      <w:r>
        <w:rPr>
          <w:lang w:eastAsia="en-SG"/>
        </w:rPr>
        <w:t xml:space="preserve"> initiative</w:t>
      </w:r>
      <w:r w:rsidRPr="003A2B93">
        <w:rPr>
          <w:lang w:eastAsia="en-SG"/>
        </w:rPr>
        <w:t xml:space="preserve">, </w:t>
      </w:r>
      <w:r>
        <w:rPr>
          <w:lang w:eastAsia="en-SG"/>
        </w:rPr>
        <w:t>IMDA and</w:t>
      </w:r>
      <w:r w:rsidRPr="003A2B93">
        <w:rPr>
          <w:lang w:eastAsia="en-SG"/>
        </w:rPr>
        <w:t xml:space="preserve"> five polytechnics have an ongoing collaboration to retain and develop female students’ interest in a career in tech through talks, workshops, competitions</w:t>
      </w:r>
      <w:r>
        <w:rPr>
          <w:lang w:eastAsia="en-SG"/>
        </w:rPr>
        <w:t>,</w:t>
      </w:r>
      <w:r w:rsidRPr="003A2B93">
        <w:rPr>
          <w:lang w:eastAsia="en-SG"/>
        </w:rPr>
        <w:t xml:space="preserve"> and mentorship opportunities. </w:t>
      </w:r>
    </w:p>
    <w:p w14:paraId="5F0D6918" w14:textId="1401D6E0" w:rsidR="00943978" w:rsidRPr="00241644" w:rsidRDefault="00171375" w:rsidP="00241644">
      <w:pPr>
        <w:pStyle w:val="gmail-p"/>
        <w:spacing w:before="0" w:beforeAutospacing="0" w:after="160" w:afterAutospacing="0" w:line="259" w:lineRule="auto"/>
        <w:ind w:left="0"/>
        <w:rPr>
          <w:rFonts w:asciiTheme="minorHAnsi" w:hAnsiTheme="minorHAnsi" w:cstheme="minorHAnsi"/>
          <w:sz w:val="22"/>
          <w:szCs w:val="22"/>
          <w:lang w:val="en-US" w:eastAsia="en-US"/>
        </w:rPr>
      </w:pPr>
      <w:r>
        <w:rPr>
          <w:rFonts w:asciiTheme="minorHAnsi" w:hAnsiTheme="minorHAnsi" w:cstheme="minorHAnsi"/>
          <w:sz w:val="22"/>
          <w:szCs w:val="22"/>
          <w:lang w:val="en-US" w:eastAsia="en-US"/>
        </w:rPr>
        <w:t>I</w:t>
      </w:r>
      <w:r w:rsidR="00135EB0" w:rsidRPr="00135EB0">
        <w:rPr>
          <w:rFonts w:asciiTheme="minorHAnsi" w:hAnsiTheme="minorHAnsi" w:cstheme="minorHAnsi"/>
          <w:sz w:val="22"/>
          <w:szCs w:val="22"/>
          <w:lang w:val="en-US" w:eastAsia="en-US"/>
        </w:rPr>
        <w:t xml:space="preserve">nitiatives such as </w:t>
      </w:r>
      <w:r w:rsidR="00875283">
        <w:rPr>
          <w:rFonts w:asciiTheme="minorHAnsi" w:hAnsiTheme="minorHAnsi" w:cstheme="minorHAnsi"/>
          <w:sz w:val="22"/>
          <w:szCs w:val="22"/>
          <w:lang w:val="en-US" w:eastAsia="en-US"/>
        </w:rPr>
        <w:t xml:space="preserve">the Nanyang Technological University’s </w:t>
      </w:r>
      <w:r w:rsidR="00135EB0" w:rsidRPr="00135EB0">
        <w:rPr>
          <w:rFonts w:asciiTheme="minorHAnsi" w:hAnsiTheme="minorHAnsi" w:cstheme="minorHAnsi"/>
          <w:sz w:val="22"/>
          <w:szCs w:val="22"/>
          <w:lang w:val="en-US" w:eastAsia="en-US"/>
        </w:rPr>
        <w:t xml:space="preserve">Promotion of Women in Engineering, Research and Science (POWERS) </w:t>
      </w:r>
      <w:proofErr w:type="spellStart"/>
      <w:r w:rsidR="00135EB0" w:rsidRPr="00135EB0">
        <w:rPr>
          <w:rFonts w:asciiTheme="minorHAnsi" w:hAnsiTheme="minorHAnsi" w:cstheme="minorHAnsi"/>
          <w:sz w:val="22"/>
          <w:szCs w:val="22"/>
          <w:lang w:val="en-US" w:eastAsia="en-US"/>
        </w:rPr>
        <w:t>programme</w:t>
      </w:r>
      <w:proofErr w:type="spellEnd"/>
      <w:r w:rsidR="00875283">
        <w:rPr>
          <w:rFonts w:asciiTheme="minorHAnsi" w:hAnsiTheme="minorHAnsi" w:cstheme="minorHAnsi"/>
          <w:sz w:val="22"/>
          <w:szCs w:val="22"/>
          <w:lang w:val="en-US" w:eastAsia="en-US"/>
        </w:rPr>
        <w:t xml:space="preserve"> </w:t>
      </w:r>
      <w:r w:rsidR="00135EB0" w:rsidRPr="00135EB0">
        <w:rPr>
          <w:rFonts w:asciiTheme="minorHAnsi" w:hAnsiTheme="minorHAnsi" w:cstheme="minorHAnsi"/>
          <w:sz w:val="22"/>
          <w:szCs w:val="22"/>
          <w:lang w:val="en-US" w:eastAsia="en-US"/>
        </w:rPr>
        <w:t xml:space="preserve">encourages women to pursue careers in STEM fields. Launched in 2021, over 600 female students have benefited from POWERS, through mentorship </w:t>
      </w:r>
      <w:proofErr w:type="spellStart"/>
      <w:r w:rsidR="00135EB0" w:rsidRPr="00135EB0">
        <w:rPr>
          <w:rFonts w:asciiTheme="minorHAnsi" w:hAnsiTheme="minorHAnsi" w:cstheme="minorHAnsi"/>
          <w:sz w:val="22"/>
          <w:szCs w:val="22"/>
          <w:lang w:val="en-US" w:eastAsia="en-US"/>
        </w:rPr>
        <w:t>programmes</w:t>
      </w:r>
      <w:proofErr w:type="spellEnd"/>
      <w:r w:rsidR="00135EB0" w:rsidRPr="00135EB0">
        <w:rPr>
          <w:rFonts w:asciiTheme="minorHAnsi" w:hAnsiTheme="minorHAnsi" w:cstheme="minorHAnsi"/>
          <w:sz w:val="22"/>
          <w:szCs w:val="22"/>
          <w:lang w:val="en-US" w:eastAsia="en-US"/>
        </w:rPr>
        <w:t xml:space="preserve"> and workshops and seminars</w:t>
      </w:r>
      <w:r w:rsidR="00067198">
        <w:rPr>
          <w:rFonts w:asciiTheme="minorHAnsi" w:hAnsiTheme="minorHAnsi" w:cstheme="minorHAnsi"/>
          <w:sz w:val="22"/>
          <w:szCs w:val="22"/>
          <w:lang w:val="en-US" w:eastAsia="en-US"/>
        </w:rPr>
        <w:t xml:space="preserve">, </w:t>
      </w:r>
      <w:r w:rsidR="00C5022E">
        <w:rPr>
          <w:rFonts w:asciiTheme="minorHAnsi" w:hAnsiTheme="minorHAnsi" w:cstheme="minorHAnsi"/>
          <w:sz w:val="22"/>
          <w:szCs w:val="22"/>
          <w:lang w:val="en-US" w:eastAsia="en-US"/>
        </w:rPr>
        <w:t xml:space="preserve">which </w:t>
      </w:r>
      <w:r w:rsidR="00135EB0" w:rsidRPr="00135EB0">
        <w:rPr>
          <w:rFonts w:asciiTheme="minorHAnsi" w:hAnsiTheme="minorHAnsi" w:cstheme="minorHAnsi"/>
          <w:sz w:val="22"/>
          <w:szCs w:val="22"/>
          <w:lang w:val="en-US" w:eastAsia="en-US"/>
        </w:rPr>
        <w:t>equip them with professional and personal skillsets to embark on STEM careers.</w:t>
      </w:r>
    </w:p>
    <w:p w14:paraId="07E427D7" w14:textId="733DABA1" w:rsidR="00A00868" w:rsidRPr="00F44592" w:rsidRDefault="00AF483A" w:rsidP="0045392A">
      <w:pPr>
        <w:pStyle w:val="ListParagraph"/>
        <w:numPr>
          <w:ilvl w:val="0"/>
          <w:numId w:val="19"/>
        </w:numPr>
        <w:rPr>
          <w:b/>
          <w:bCs/>
        </w:rPr>
      </w:pPr>
      <w:r w:rsidRPr="00F44592">
        <w:rPr>
          <w:b/>
          <w:bCs/>
        </w:rPr>
        <w:t>COVID</w:t>
      </w:r>
      <w:r w:rsidR="00E074DD" w:rsidRPr="00F44592">
        <w:rPr>
          <w:b/>
          <w:bCs/>
        </w:rPr>
        <w:t>-19 measures</w:t>
      </w:r>
    </w:p>
    <w:p w14:paraId="7F4CBE8E" w14:textId="1453118D" w:rsidR="00674AF0" w:rsidRDefault="001E32E8" w:rsidP="00522794">
      <w:pPr>
        <w:pStyle w:val="ListParagraph"/>
        <w:ind w:left="0"/>
        <w:jc w:val="both"/>
        <w:rPr>
          <w:rStyle w:val="normaltextrun"/>
          <w:rFonts w:asciiTheme="minorHAnsi" w:hAnsiTheme="minorHAnsi" w:cstheme="minorHAnsi"/>
          <w:color w:val="000000" w:themeColor="text1"/>
        </w:rPr>
      </w:pPr>
      <w:r w:rsidRPr="001E32E8">
        <w:rPr>
          <w:rStyle w:val="normaltextrun"/>
          <w:rFonts w:asciiTheme="minorHAnsi" w:hAnsiTheme="minorHAnsi" w:cstheme="minorHAnsi"/>
          <w:color w:val="000000" w:themeColor="text1"/>
        </w:rPr>
        <w:t xml:space="preserve">During the COVID-19 pandemic, MOE closely monitored the disruptions to schooling and took steps to ensure that all students’ learning and development </w:t>
      </w:r>
      <w:r w:rsidR="00553E78">
        <w:rPr>
          <w:rStyle w:val="normaltextrun"/>
          <w:rFonts w:asciiTheme="minorHAnsi" w:hAnsiTheme="minorHAnsi" w:cstheme="minorHAnsi"/>
          <w:color w:val="000000" w:themeColor="text1"/>
        </w:rPr>
        <w:t>were not</w:t>
      </w:r>
      <w:r w:rsidRPr="001E32E8">
        <w:rPr>
          <w:rStyle w:val="normaltextrun"/>
          <w:rFonts w:asciiTheme="minorHAnsi" w:hAnsiTheme="minorHAnsi" w:cstheme="minorHAnsi"/>
          <w:color w:val="000000" w:themeColor="text1"/>
        </w:rPr>
        <w:t xml:space="preserve"> compromised. </w:t>
      </w:r>
    </w:p>
    <w:p w14:paraId="193AE376" w14:textId="77777777" w:rsidR="00674AF0" w:rsidRDefault="00674AF0" w:rsidP="00522794">
      <w:pPr>
        <w:pStyle w:val="ListParagraph"/>
        <w:ind w:left="0"/>
        <w:jc w:val="both"/>
        <w:rPr>
          <w:rStyle w:val="normaltextrun"/>
          <w:rFonts w:asciiTheme="minorHAnsi" w:hAnsiTheme="minorHAnsi" w:cstheme="minorHAnsi"/>
          <w:color w:val="000000" w:themeColor="text1"/>
        </w:rPr>
      </w:pPr>
    </w:p>
    <w:p w14:paraId="5C095C4C" w14:textId="014FFD8E" w:rsidR="001E32E8" w:rsidRDefault="00773A22" w:rsidP="00522794">
      <w:pPr>
        <w:pStyle w:val="ListParagraph"/>
        <w:ind w:left="0"/>
        <w:jc w:val="both"/>
        <w:rPr>
          <w:rStyle w:val="normaltextrun"/>
          <w:rFonts w:asciiTheme="minorHAnsi" w:hAnsiTheme="minorHAnsi" w:cstheme="minorBidi"/>
          <w:color w:val="000000" w:themeColor="text1"/>
        </w:rPr>
      </w:pPr>
      <w:r w:rsidRPr="00773A22">
        <w:rPr>
          <w:rStyle w:val="normaltextrun"/>
          <w:rFonts w:asciiTheme="minorHAnsi" w:hAnsiTheme="minorHAnsi" w:cstheme="minorHAnsi"/>
          <w:color w:val="000000" w:themeColor="text1"/>
        </w:rPr>
        <w:t>Schools acted quickly to transition to Full Home-Based Learning, while maintaining face-to-face learning for vulnerable students and children of essential workers. The efforts of our teachers to engage students, coupled with learning resources such as the Singapore Student Learning Space that MOE had developed, helped to minimise disruption to teaching and learning.</w:t>
      </w:r>
    </w:p>
    <w:p w14:paraId="28E262EA" w14:textId="77777777" w:rsidR="00773A22" w:rsidRDefault="00773A22" w:rsidP="001E32E8">
      <w:pPr>
        <w:pStyle w:val="ListParagraph"/>
        <w:ind w:left="0"/>
        <w:rPr>
          <w:rStyle w:val="normaltextrun"/>
          <w:rFonts w:asciiTheme="minorHAnsi" w:hAnsiTheme="minorHAnsi" w:cstheme="minorHAnsi"/>
          <w:color w:val="000000" w:themeColor="text1"/>
        </w:rPr>
      </w:pPr>
    </w:p>
    <w:p w14:paraId="05F6B8F1" w14:textId="5145AFA9" w:rsidR="006B01C1" w:rsidRDefault="001E32E8" w:rsidP="00522794">
      <w:pPr>
        <w:pStyle w:val="ListParagraph"/>
        <w:ind w:left="0"/>
        <w:jc w:val="both"/>
        <w:rPr>
          <w:rStyle w:val="Heading2Char"/>
          <w:b/>
          <w:bCs/>
          <w:sz w:val="28"/>
          <w:szCs w:val="28"/>
          <w:u w:val="single"/>
        </w:rPr>
      </w:pPr>
      <w:r w:rsidRPr="001E32E8">
        <w:rPr>
          <w:rStyle w:val="normaltextrun"/>
          <w:rFonts w:asciiTheme="minorHAnsi" w:hAnsiTheme="minorHAnsi" w:cstheme="minorHAnsi"/>
          <w:color w:val="000000" w:themeColor="text1"/>
        </w:rPr>
        <w:t xml:space="preserve">MOE also ensured that all students had access to computers and the Internet for home-based learning. </w:t>
      </w:r>
      <w:r w:rsidR="00773A22">
        <w:rPr>
          <w:rStyle w:val="normaltextrun"/>
          <w:rFonts w:asciiTheme="minorHAnsi" w:hAnsiTheme="minorHAnsi" w:cstheme="minorHAnsi"/>
          <w:color w:val="000000" w:themeColor="text1"/>
        </w:rPr>
        <w:t>In</w:t>
      </w:r>
      <w:r w:rsidRPr="001E32E8">
        <w:rPr>
          <w:rStyle w:val="normaltextrun"/>
          <w:rFonts w:asciiTheme="minorHAnsi" w:hAnsiTheme="minorHAnsi" w:cstheme="minorHAnsi"/>
          <w:color w:val="000000" w:themeColor="text1"/>
        </w:rPr>
        <w:t xml:space="preserve"> 2020, schools loaned out </w:t>
      </w:r>
      <w:r w:rsidR="00395429">
        <w:rPr>
          <w:rStyle w:val="normaltextrun"/>
          <w:rFonts w:asciiTheme="minorHAnsi" w:hAnsiTheme="minorHAnsi" w:cstheme="minorHAnsi"/>
          <w:color w:val="000000" w:themeColor="text1"/>
        </w:rPr>
        <w:t>more than</w:t>
      </w:r>
      <w:r w:rsidRPr="001E32E8">
        <w:rPr>
          <w:rStyle w:val="normaltextrun"/>
          <w:rFonts w:asciiTheme="minorHAnsi" w:hAnsiTheme="minorHAnsi" w:cstheme="minorHAnsi"/>
          <w:color w:val="000000" w:themeColor="text1"/>
        </w:rPr>
        <w:t xml:space="preserve"> 20,000 </w:t>
      </w:r>
      <w:r w:rsidR="00EB62A5">
        <w:rPr>
          <w:rStyle w:val="normaltextrun"/>
          <w:rFonts w:asciiTheme="minorHAnsi" w:hAnsiTheme="minorHAnsi" w:cstheme="minorHAnsi"/>
          <w:color w:val="000000" w:themeColor="text1"/>
        </w:rPr>
        <w:t>computing</w:t>
      </w:r>
      <w:r w:rsidRPr="001E32E8">
        <w:rPr>
          <w:rStyle w:val="normaltextrun"/>
          <w:rFonts w:asciiTheme="minorHAnsi" w:hAnsiTheme="minorHAnsi" w:cstheme="minorHAnsi"/>
          <w:color w:val="000000" w:themeColor="text1"/>
        </w:rPr>
        <w:t xml:space="preserve"> devices to students who lacked digital access.</w:t>
      </w:r>
      <w:r w:rsidR="00720D2D">
        <w:rPr>
          <w:rStyle w:val="normaltextrun"/>
          <w:rFonts w:asciiTheme="minorHAnsi" w:hAnsiTheme="minorHAnsi" w:cstheme="minorHAnsi"/>
          <w:color w:val="000000" w:themeColor="text1"/>
        </w:rPr>
        <w:t xml:space="preserve"> </w:t>
      </w:r>
      <w:r w:rsidR="00720D2D" w:rsidRPr="00720D2D">
        <w:rPr>
          <w:rStyle w:val="normaltextrun"/>
          <w:rFonts w:asciiTheme="minorHAnsi" w:hAnsiTheme="minorHAnsi" w:cstheme="minorHAnsi"/>
          <w:color w:val="000000" w:themeColor="text1"/>
        </w:rPr>
        <w:t xml:space="preserve">In 2021, every secondary school student was equipped with a personal laptop or tablet for learning – seven years ahead of the original target. </w:t>
      </w:r>
      <w:r w:rsidR="00720D2D">
        <w:rPr>
          <w:rStyle w:val="normaltextrun"/>
          <w:rFonts w:asciiTheme="minorHAnsi" w:hAnsiTheme="minorHAnsi" w:cstheme="minorHAnsi"/>
          <w:color w:val="000000" w:themeColor="text1"/>
        </w:rPr>
        <w:t>IMDA</w:t>
      </w:r>
      <w:r w:rsidR="00720D2D" w:rsidRPr="00720D2D">
        <w:rPr>
          <w:rStyle w:val="normaltextrun"/>
          <w:rFonts w:asciiTheme="minorHAnsi" w:hAnsiTheme="minorHAnsi" w:cstheme="minorHAnsi"/>
          <w:color w:val="000000" w:themeColor="text1"/>
        </w:rPr>
        <w:t xml:space="preserve"> also offered subsidised computers and free broadband to low-income families who required digital access for home-based learning.</w:t>
      </w:r>
      <w:r w:rsidR="006B01C1">
        <w:rPr>
          <w:rStyle w:val="Heading2Char"/>
          <w:b/>
          <w:bCs/>
          <w:sz w:val="28"/>
          <w:szCs w:val="28"/>
          <w:u w:val="single"/>
        </w:rPr>
        <w:br w:type="page"/>
      </w:r>
    </w:p>
    <w:p w14:paraId="4AA7222F" w14:textId="0573EE2C" w:rsidR="00CB3C7E" w:rsidRDefault="3842B804" w:rsidP="000746B4">
      <w:pPr>
        <w:pStyle w:val="Heading2"/>
        <w:jc w:val="both"/>
      </w:pPr>
      <w:bookmarkStart w:id="21" w:name="_Toc169709884"/>
      <w:r w:rsidRPr="00F44592">
        <w:rPr>
          <w:rStyle w:val="Heading2Char"/>
          <w:b/>
          <w:bCs/>
          <w:sz w:val="32"/>
          <w:szCs w:val="32"/>
          <w:u w:val="single"/>
        </w:rPr>
        <w:lastRenderedPageBreak/>
        <w:t>Freedom from violence, stigma, and stereotypes</w:t>
      </w:r>
      <w:bookmarkEnd w:id="21"/>
      <w:r w:rsidR="000746B4" w:rsidRPr="00F24B03">
        <w:rPr>
          <w:rStyle w:val="Heading2Char"/>
          <w:b/>
          <w:sz w:val="32"/>
          <w:szCs w:val="32"/>
        </w:rPr>
        <w:tab/>
      </w:r>
      <w:r>
        <w:br/>
      </w:r>
    </w:p>
    <w:p w14:paraId="48E98B7D" w14:textId="49CAC84E" w:rsidR="00C56441" w:rsidRPr="00C56441" w:rsidRDefault="00C56441" w:rsidP="000746B4">
      <w:pPr>
        <w:jc w:val="both"/>
      </w:pPr>
      <w:r w:rsidRPr="00C56441">
        <w:t xml:space="preserve">Singapore does not tolerate any form of violence against women. </w:t>
      </w:r>
      <w:r w:rsidR="002B69C8">
        <w:t>R</w:t>
      </w:r>
      <w:r w:rsidR="002B69C8" w:rsidRPr="002B69C8">
        <w:t>obust legislation</w:t>
      </w:r>
      <w:r w:rsidR="002B69C8">
        <w:t xml:space="preserve"> are in place</w:t>
      </w:r>
      <w:r w:rsidR="002B69C8" w:rsidRPr="002B69C8">
        <w:t xml:space="preserve"> to protect them from gender-based violence, including sexual harassment and domestic violence.</w:t>
      </w:r>
    </w:p>
    <w:p w14:paraId="261BA157" w14:textId="03910DE7" w:rsidR="00B72023" w:rsidRDefault="00C56441" w:rsidP="0045392A">
      <w:pPr>
        <w:pStyle w:val="ListParagraph"/>
        <w:numPr>
          <w:ilvl w:val="0"/>
          <w:numId w:val="6"/>
        </w:numPr>
        <w:jc w:val="both"/>
      </w:pPr>
      <w:r w:rsidRPr="069981A9">
        <w:t xml:space="preserve">The Penal Code criminalises all acts of violence and </w:t>
      </w:r>
      <w:r w:rsidR="00D4138B">
        <w:t>sexual crimes,</w:t>
      </w:r>
      <w:r w:rsidRPr="069981A9">
        <w:t xml:space="preserve"> and there are heavy penalties if an offence is made out</w:t>
      </w:r>
      <w:r w:rsidR="00D4138B">
        <w:t>, particularly if committed against vulnerable victims</w:t>
      </w:r>
      <w:r w:rsidRPr="069981A9">
        <w:t xml:space="preserve">.  </w:t>
      </w:r>
    </w:p>
    <w:p w14:paraId="3BF556E4" w14:textId="77777777" w:rsidR="00B72023" w:rsidRDefault="00C56441" w:rsidP="0045392A">
      <w:pPr>
        <w:pStyle w:val="ListParagraph"/>
        <w:numPr>
          <w:ilvl w:val="0"/>
          <w:numId w:val="6"/>
        </w:numPr>
        <w:jc w:val="both"/>
      </w:pPr>
      <w:r w:rsidRPr="069981A9">
        <w:t xml:space="preserve">The Women’s Charter provides protection for women from family violence, including allowing the Family Court to make protection orders restraining the perpetrator </w:t>
      </w:r>
      <w:r w:rsidR="00481FF0" w:rsidRPr="069981A9">
        <w:t xml:space="preserve">from committing acts of family violence against victim-survivors. Breaching such orders is an arrestable offence. </w:t>
      </w:r>
      <w:r w:rsidRPr="069981A9">
        <w:t xml:space="preserve">  </w:t>
      </w:r>
    </w:p>
    <w:p w14:paraId="345381CD" w14:textId="092A7EE1" w:rsidR="00B72023" w:rsidRDefault="00C56441" w:rsidP="0045392A">
      <w:pPr>
        <w:pStyle w:val="ListParagraph"/>
        <w:numPr>
          <w:ilvl w:val="0"/>
          <w:numId w:val="6"/>
        </w:numPr>
        <w:jc w:val="both"/>
      </w:pPr>
      <w:r w:rsidRPr="00B72023">
        <w:t>If the abuse is against a child, the child can also be protected under the Children and Young Persons Act.</w:t>
      </w:r>
    </w:p>
    <w:p w14:paraId="57E6E46F" w14:textId="0854B294" w:rsidR="00C56441" w:rsidRPr="00B72023" w:rsidRDefault="00C56441" w:rsidP="0045392A">
      <w:pPr>
        <w:pStyle w:val="ListParagraph"/>
        <w:numPr>
          <w:ilvl w:val="0"/>
          <w:numId w:val="6"/>
        </w:numPr>
        <w:jc w:val="both"/>
      </w:pPr>
      <w:r w:rsidRPr="00B72023">
        <w:t xml:space="preserve">The Protection against Harassment Act (POHA) </w:t>
      </w:r>
      <w:r w:rsidR="00A86388" w:rsidRPr="00B72023">
        <w:t>protects individuals from harassment and anti-social behaviour.</w:t>
      </w:r>
    </w:p>
    <w:p w14:paraId="47B4EB7E" w14:textId="5456D12A" w:rsidR="006C13B2" w:rsidRPr="006C13B2" w:rsidRDefault="006C13B2" w:rsidP="000746B4">
      <w:pPr>
        <w:jc w:val="both"/>
      </w:pPr>
      <w:r w:rsidRPr="006C13B2">
        <w:t xml:space="preserve">In addition to statutory protection, we recognise that protecting women and girls from violence requires a strong partnership with our community partners.  As such, we have put in place measures that allow us to tap the expertise and services across the social and private sector such as schools, workplaces and religious and grassroots organisations to better support victims of gender-based violence who require assistance. </w:t>
      </w:r>
    </w:p>
    <w:p w14:paraId="24225434" w14:textId="77777777" w:rsidR="00F24B03" w:rsidRPr="006C13B2" w:rsidRDefault="00F24B03" w:rsidP="000746B4">
      <w:pPr>
        <w:jc w:val="both"/>
      </w:pPr>
    </w:p>
    <w:p w14:paraId="44A0345A" w14:textId="0A948352" w:rsidR="00716C6D" w:rsidRPr="007D1B41" w:rsidRDefault="00F44592" w:rsidP="007D1B41">
      <w:pPr>
        <w:pStyle w:val="Heading3"/>
        <w:rPr>
          <w:b/>
          <w:bCs/>
          <w:u w:val="single"/>
        </w:rPr>
      </w:pPr>
      <w:bookmarkStart w:id="22" w:name="_Toc169709885"/>
      <w:r>
        <w:rPr>
          <w:b/>
          <w:bCs/>
        </w:rPr>
        <w:t>A.</w:t>
      </w:r>
      <w:r>
        <w:rPr>
          <w:b/>
          <w:bCs/>
        </w:rPr>
        <w:tab/>
      </w:r>
      <w:r w:rsidR="00716C6D" w:rsidRPr="007D1B41">
        <w:rPr>
          <w:b/>
          <w:bCs/>
          <w:u w:val="single"/>
        </w:rPr>
        <w:t xml:space="preserve">Eliminating </w:t>
      </w:r>
      <w:r w:rsidR="00F24B03">
        <w:rPr>
          <w:b/>
          <w:bCs/>
          <w:u w:val="single"/>
        </w:rPr>
        <w:t>G</w:t>
      </w:r>
      <w:r w:rsidR="00716C6D" w:rsidRPr="007D1B41">
        <w:rPr>
          <w:b/>
          <w:bCs/>
          <w:u w:val="single"/>
        </w:rPr>
        <w:t>ender-</w:t>
      </w:r>
      <w:r w:rsidR="00F24B03">
        <w:rPr>
          <w:b/>
          <w:bCs/>
          <w:u w:val="single"/>
        </w:rPr>
        <w:t>B</w:t>
      </w:r>
      <w:r w:rsidR="00716C6D" w:rsidRPr="007D1B41">
        <w:rPr>
          <w:b/>
          <w:bCs/>
          <w:u w:val="single"/>
        </w:rPr>
        <w:t xml:space="preserve">ased </w:t>
      </w:r>
      <w:r w:rsidR="00F24B03">
        <w:rPr>
          <w:b/>
          <w:bCs/>
          <w:u w:val="single"/>
        </w:rPr>
        <w:t>V</w:t>
      </w:r>
      <w:r w:rsidR="00716C6D" w:rsidRPr="007D1B41">
        <w:rPr>
          <w:b/>
          <w:bCs/>
          <w:u w:val="single"/>
        </w:rPr>
        <w:t>iolence</w:t>
      </w:r>
      <w:bookmarkEnd w:id="22"/>
      <w:r w:rsidR="00716C6D" w:rsidRPr="007D1B41">
        <w:rPr>
          <w:b/>
          <w:bCs/>
          <w:u w:val="single"/>
        </w:rPr>
        <w:t xml:space="preserve"> </w:t>
      </w:r>
    </w:p>
    <w:p w14:paraId="2960DAC3" w14:textId="53C8BC99" w:rsidR="00115D12" w:rsidRPr="00F44592" w:rsidRDefault="001431DF" w:rsidP="0045392A">
      <w:pPr>
        <w:pStyle w:val="ListParagraph"/>
        <w:numPr>
          <w:ilvl w:val="0"/>
          <w:numId w:val="20"/>
        </w:numPr>
        <w:rPr>
          <w:b/>
          <w:bCs/>
        </w:rPr>
      </w:pPr>
      <w:r w:rsidRPr="00F44592">
        <w:rPr>
          <w:b/>
          <w:bCs/>
        </w:rPr>
        <w:t>Intimate partner violence</w:t>
      </w:r>
    </w:p>
    <w:p w14:paraId="798A38F3" w14:textId="2A1999A0" w:rsidR="00247356" w:rsidRPr="007D7A50" w:rsidRDefault="00247356" w:rsidP="00247356">
      <w:pPr>
        <w:spacing w:line="259" w:lineRule="auto"/>
        <w:jc w:val="both"/>
      </w:pPr>
      <w:r w:rsidRPr="7FDAC052">
        <w:t xml:space="preserve">Victims of violence, including unmarried women who are victims of intimate partner violence, can obtain protection under POHA through a Protection Order (PO), or, in urgent cases, an Expedited Protection Order (EPO). </w:t>
      </w:r>
    </w:p>
    <w:p w14:paraId="3E8DF891" w14:textId="6A01FB82" w:rsidR="00247356" w:rsidRPr="007D7A50" w:rsidRDefault="00247356" w:rsidP="00247356">
      <w:pPr>
        <w:spacing w:line="259" w:lineRule="auto"/>
        <w:jc w:val="both"/>
      </w:pPr>
      <w:r w:rsidRPr="7FDAC052">
        <w:t>As part of a PO, the court can make a domestic exclusion orde</w:t>
      </w:r>
      <w:r w:rsidR="005B4766" w:rsidRPr="005B4766">
        <w:t>r.</w:t>
      </w:r>
      <w:r w:rsidR="00F475AD">
        <w:t xml:space="preserve"> </w:t>
      </w:r>
      <w:r w:rsidRPr="7FDAC052">
        <w:t xml:space="preserve">The POHA was amended recently </w:t>
      </w:r>
      <w:r w:rsidRPr="4096F4B2">
        <w:t xml:space="preserve">to enhance the penalties for offences against victims in an intimate relationship. </w:t>
      </w:r>
    </w:p>
    <w:p w14:paraId="3745DAE5" w14:textId="7A940136" w:rsidR="00C309B3" w:rsidRDefault="000A5DD9" w:rsidP="00241644">
      <w:pPr>
        <w:spacing w:line="259" w:lineRule="auto"/>
        <w:jc w:val="both"/>
      </w:pPr>
      <w:r>
        <w:t>T</w:t>
      </w:r>
      <w:r w:rsidR="007C23F9">
        <w:t>he Penal Code was</w:t>
      </w:r>
      <w:r w:rsidR="009D1B23">
        <w:t xml:space="preserve"> also</w:t>
      </w:r>
      <w:r w:rsidR="007C23F9">
        <w:t xml:space="preserve"> amended </w:t>
      </w:r>
      <w:r>
        <w:t xml:space="preserve">in 2019 </w:t>
      </w:r>
      <w:r w:rsidR="007C23F9">
        <w:t xml:space="preserve">to </w:t>
      </w:r>
      <w:r w:rsidR="009D1B23">
        <w:t>better protect victims from intimate partner violence. O</w:t>
      </w:r>
      <w:r w:rsidR="007C23F9">
        <w:t>ffenders who commit offences against victims with whom they were in a close or intimate relationship</w:t>
      </w:r>
      <w:r w:rsidR="009D1B23">
        <w:t xml:space="preserve"> are now liable </w:t>
      </w:r>
      <w:r w:rsidR="00D0165C">
        <w:t>to be punished with up to twice the maximum penalty for the offence</w:t>
      </w:r>
      <w:r w:rsidR="007C23F9">
        <w:t>.</w:t>
      </w:r>
      <w:r w:rsidR="000E375F">
        <w:t xml:space="preserve"> </w:t>
      </w:r>
    </w:p>
    <w:p w14:paraId="5CF1247C" w14:textId="739501E3" w:rsidR="00C309B3" w:rsidRPr="00F44592" w:rsidRDefault="001431DF" w:rsidP="0045392A">
      <w:pPr>
        <w:pStyle w:val="ListParagraph"/>
        <w:numPr>
          <w:ilvl w:val="0"/>
          <w:numId w:val="20"/>
        </w:numPr>
        <w:rPr>
          <w:b/>
          <w:bCs/>
        </w:rPr>
      </w:pPr>
      <w:r w:rsidRPr="00F44592">
        <w:rPr>
          <w:b/>
          <w:bCs/>
        </w:rPr>
        <w:t>Domestic violence</w:t>
      </w:r>
    </w:p>
    <w:p w14:paraId="598FBD51" w14:textId="4AF13053" w:rsidR="006B1302" w:rsidRPr="00F44592" w:rsidRDefault="006B1302" w:rsidP="0045392A">
      <w:pPr>
        <w:pStyle w:val="ListParagraph"/>
        <w:numPr>
          <w:ilvl w:val="0"/>
          <w:numId w:val="21"/>
        </w:numPr>
        <w:jc w:val="both"/>
        <w:rPr>
          <w:i/>
          <w:iCs/>
        </w:rPr>
      </w:pPr>
      <w:r w:rsidRPr="00F44592">
        <w:rPr>
          <w:i/>
          <w:iCs/>
        </w:rPr>
        <w:t>Changes in legislation</w:t>
      </w:r>
    </w:p>
    <w:p w14:paraId="682A43C9" w14:textId="02CE1049" w:rsidR="00923917" w:rsidRPr="00923917" w:rsidRDefault="00295123" w:rsidP="00923917">
      <w:pPr>
        <w:tabs>
          <w:tab w:val="left" w:pos="1414"/>
        </w:tabs>
        <w:spacing w:before="120" w:after="120" w:line="259" w:lineRule="auto"/>
        <w:jc w:val="both"/>
        <w:rPr>
          <w:rFonts w:cs="Arial"/>
          <w:color w:val="000000" w:themeColor="text1"/>
        </w:rPr>
      </w:pPr>
      <w:r w:rsidRPr="006F68B9">
        <w:t>A</w:t>
      </w:r>
      <w:r w:rsidR="00923917" w:rsidRPr="006F68B9">
        <w:rPr>
          <w:rFonts w:cs="Arial"/>
          <w:color w:val="000000" w:themeColor="text1"/>
        </w:rPr>
        <w:t>mendments</w:t>
      </w:r>
      <w:r w:rsidR="00923917" w:rsidRPr="00923917">
        <w:rPr>
          <w:rFonts w:cs="Arial"/>
          <w:color w:val="000000" w:themeColor="text1"/>
        </w:rPr>
        <w:t xml:space="preserve"> were made to the Penal Code in 2019 (which came into effect on 1 January 2020) to enhance the protection of women and girls</w:t>
      </w:r>
      <w:r w:rsidR="00923917" w:rsidRPr="006F68B9">
        <w:rPr>
          <w:rFonts w:cs="Arial"/>
          <w:color w:val="000000" w:themeColor="text1"/>
        </w:rPr>
        <w:t>.</w:t>
      </w:r>
      <w:r w:rsidR="00923917" w:rsidRPr="00923917">
        <w:rPr>
          <w:rFonts w:cs="Arial"/>
          <w:color w:val="000000" w:themeColor="text1"/>
        </w:rPr>
        <w:t xml:space="preserve"> Offences against the body (including wrongful confinement, hurt, and rape) may be punished with up to twice the maximum punishments for these offences if committed against a person that was in a “close” or “intimate” relationship with the offender at the time of the offence. This allows perpetrators of domestic violence to be punished much more severely. </w:t>
      </w:r>
    </w:p>
    <w:p w14:paraId="3877545B" w14:textId="04D9D061" w:rsidR="00923917" w:rsidRDefault="000C2638" w:rsidP="00295FC6">
      <w:pPr>
        <w:tabs>
          <w:tab w:val="left" w:pos="1414"/>
        </w:tabs>
        <w:spacing w:before="120" w:after="120" w:line="259" w:lineRule="auto"/>
        <w:jc w:val="both"/>
        <w:rPr>
          <w:rFonts w:cs="Arial"/>
          <w:color w:val="000000"/>
        </w:rPr>
      </w:pPr>
      <w:r>
        <w:rPr>
          <w:rFonts w:cs="Arial"/>
          <w:color w:val="000000" w:themeColor="text1"/>
        </w:rPr>
        <w:lastRenderedPageBreak/>
        <w:t xml:space="preserve">The </w:t>
      </w:r>
      <w:r w:rsidR="00923917" w:rsidRPr="00923917">
        <w:rPr>
          <w:rFonts w:cs="Arial"/>
          <w:color w:val="000000" w:themeColor="text1"/>
        </w:rPr>
        <w:t>marital immunity for rape</w:t>
      </w:r>
      <w:r>
        <w:rPr>
          <w:rFonts w:cs="Arial"/>
          <w:color w:val="000000" w:themeColor="text1"/>
        </w:rPr>
        <w:t xml:space="preserve"> was also repealed.</w:t>
      </w:r>
      <w:r w:rsidR="00923917" w:rsidRPr="00923917">
        <w:rPr>
          <w:rFonts w:cs="Arial"/>
          <w:color w:val="000000" w:themeColor="text1"/>
        </w:rPr>
        <w:t xml:space="preserve"> The full, unqualified repeal of </w:t>
      </w:r>
      <w:r w:rsidR="00923917" w:rsidRPr="00923917">
        <w:rPr>
          <w:rFonts w:cs="Arial"/>
          <w:color w:val="000000"/>
        </w:rPr>
        <w:t>marital immunity for rape will protect all women from this serious form of sexual abuse, regardless of their relationship to the perpetrator.</w:t>
      </w:r>
    </w:p>
    <w:p w14:paraId="12EA77E7" w14:textId="59846584" w:rsidR="00295123" w:rsidRPr="006F68B9" w:rsidRDefault="00207932" w:rsidP="00295123">
      <w:pPr>
        <w:tabs>
          <w:tab w:val="left" w:pos="1414"/>
        </w:tabs>
        <w:spacing w:before="120" w:after="120" w:line="259" w:lineRule="auto"/>
        <w:jc w:val="both"/>
        <w:rPr>
          <w:rFonts w:cs="Arial"/>
          <w:color w:val="000000" w:themeColor="text1"/>
        </w:rPr>
      </w:pPr>
      <w:r w:rsidRPr="006F68B9">
        <w:rPr>
          <w:rFonts w:cs="Arial"/>
          <w:lang w:eastAsia="en-SG"/>
        </w:rPr>
        <w:t>In 2023, t</w:t>
      </w:r>
      <w:r w:rsidR="00DA7099" w:rsidRPr="006F68B9">
        <w:rPr>
          <w:rFonts w:cs="Arial"/>
          <w:lang w:eastAsia="en-SG"/>
        </w:rPr>
        <w:t xml:space="preserve">he </w:t>
      </w:r>
      <w:r w:rsidR="00295123" w:rsidRPr="006F68B9" w:rsidDel="00353784">
        <w:rPr>
          <w:rFonts w:cs="Arial"/>
          <w:lang w:eastAsia="en-SG"/>
        </w:rPr>
        <w:t xml:space="preserve">Women’s Charter </w:t>
      </w:r>
      <w:r w:rsidR="00295123" w:rsidRPr="006F68B9">
        <w:rPr>
          <w:rFonts w:cs="Arial"/>
          <w:lang w:eastAsia="en-SG"/>
        </w:rPr>
        <w:t xml:space="preserve">was amended </w:t>
      </w:r>
      <w:r w:rsidRPr="006F68B9">
        <w:rPr>
          <w:rFonts w:cs="Arial"/>
          <w:lang w:eastAsia="en-SG"/>
        </w:rPr>
        <w:t xml:space="preserve">to </w:t>
      </w:r>
      <w:r w:rsidR="00295123" w:rsidRPr="006F68B9">
        <w:rPr>
          <w:rFonts w:cs="Arial"/>
          <w:color w:val="000000" w:themeColor="text1"/>
        </w:rPr>
        <w:t xml:space="preserve">strengthen protection for victim-survivors, and enhance rehabilitation and accountability of perpetrators of family violence. The amendments </w:t>
      </w:r>
      <w:r w:rsidR="00C06E07" w:rsidRPr="006F68B9">
        <w:rPr>
          <w:rFonts w:cs="Arial"/>
          <w:color w:val="000000" w:themeColor="text1"/>
        </w:rPr>
        <w:t>clarified</w:t>
      </w:r>
      <w:r w:rsidR="00295123" w:rsidRPr="006F68B9">
        <w:rPr>
          <w:rFonts w:cs="Arial"/>
          <w:color w:val="000000" w:themeColor="text1"/>
        </w:rPr>
        <w:t xml:space="preserve"> that the definition of family violence includes </w:t>
      </w:r>
      <w:r w:rsidR="00FF09B5" w:rsidRPr="006F68B9">
        <w:rPr>
          <w:rFonts w:cs="Arial"/>
          <w:color w:val="000000" w:themeColor="text1"/>
        </w:rPr>
        <w:t xml:space="preserve">physical, sexual, </w:t>
      </w:r>
      <w:r w:rsidR="00295123" w:rsidRPr="006F68B9">
        <w:rPr>
          <w:rFonts w:cs="Arial"/>
          <w:color w:val="000000" w:themeColor="text1"/>
        </w:rPr>
        <w:t>emotional</w:t>
      </w:r>
      <w:r w:rsidR="00C7075F" w:rsidRPr="006F68B9">
        <w:rPr>
          <w:rFonts w:cs="Arial"/>
          <w:color w:val="000000" w:themeColor="text1"/>
        </w:rPr>
        <w:t>,</w:t>
      </w:r>
      <w:r w:rsidR="00295123" w:rsidRPr="006F68B9">
        <w:rPr>
          <w:rFonts w:cs="Arial"/>
          <w:color w:val="000000" w:themeColor="text1"/>
        </w:rPr>
        <w:t xml:space="preserve"> and psychological abuse. Illustrations of egregious coercive control behaviours that constitute emotional and psychological abuse were </w:t>
      </w:r>
      <w:r w:rsidR="00FF09B5" w:rsidRPr="006F68B9">
        <w:rPr>
          <w:rFonts w:cs="Arial"/>
          <w:color w:val="000000" w:themeColor="text1"/>
        </w:rPr>
        <w:t xml:space="preserve">also </w:t>
      </w:r>
      <w:r w:rsidR="00295123" w:rsidRPr="006F68B9">
        <w:rPr>
          <w:rFonts w:cs="Arial"/>
          <w:color w:val="000000" w:themeColor="text1"/>
        </w:rPr>
        <w:t xml:space="preserve">introduced in the amended Act. </w:t>
      </w:r>
    </w:p>
    <w:p w14:paraId="4C86D7FA" w14:textId="2F1BCFCB" w:rsidR="00295123" w:rsidRPr="00923917" w:rsidRDefault="00295123" w:rsidP="00295FC6">
      <w:pPr>
        <w:tabs>
          <w:tab w:val="left" w:pos="1414"/>
        </w:tabs>
        <w:spacing w:before="120" w:after="120" w:line="259" w:lineRule="auto"/>
        <w:jc w:val="both"/>
        <w:rPr>
          <w:rFonts w:cs="Arial"/>
          <w:color w:val="000000" w:themeColor="text1"/>
        </w:rPr>
      </w:pPr>
      <w:r w:rsidRPr="006F68B9">
        <w:rPr>
          <w:rFonts w:cs="Arial"/>
          <w:color w:val="000000" w:themeColor="text1"/>
        </w:rPr>
        <w:t xml:space="preserve">To empower </w:t>
      </w:r>
      <w:r w:rsidR="00E410B6" w:rsidRPr="006F68B9">
        <w:rPr>
          <w:rFonts w:cs="Arial"/>
          <w:color w:val="000000" w:themeColor="text1"/>
        </w:rPr>
        <w:t>victim-</w:t>
      </w:r>
      <w:r w:rsidRPr="006F68B9">
        <w:rPr>
          <w:rFonts w:cs="Arial"/>
          <w:color w:val="000000" w:themeColor="text1"/>
        </w:rPr>
        <w:t xml:space="preserve">survivors to better protect themselves, </w:t>
      </w:r>
      <w:r w:rsidR="00434AA3" w:rsidRPr="006F68B9">
        <w:rPr>
          <w:rFonts w:cs="Arial"/>
          <w:color w:val="000000" w:themeColor="text1"/>
        </w:rPr>
        <w:t xml:space="preserve">we also introduced </w:t>
      </w:r>
      <w:r w:rsidRPr="006F68B9">
        <w:rPr>
          <w:rFonts w:cs="Arial"/>
          <w:color w:val="000000" w:themeColor="text1"/>
        </w:rPr>
        <w:t>new</w:t>
      </w:r>
      <w:r w:rsidR="00184BC9" w:rsidRPr="006F68B9">
        <w:rPr>
          <w:rFonts w:cs="Arial"/>
          <w:color w:val="000000" w:themeColor="text1"/>
        </w:rPr>
        <w:t xml:space="preserve"> Court</w:t>
      </w:r>
      <w:r w:rsidRPr="006F68B9">
        <w:rPr>
          <w:rFonts w:cs="Arial"/>
          <w:color w:val="000000" w:themeColor="text1"/>
        </w:rPr>
        <w:t xml:space="preserve"> orders</w:t>
      </w:r>
      <w:r w:rsidR="00434AA3" w:rsidRPr="006F68B9">
        <w:rPr>
          <w:rFonts w:cs="Arial"/>
          <w:color w:val="000000" w:themeColor="text1"/>
        </w:rPr>
        <w:t>,</w:t>
      </w:r>
      <w:r w:rsidR="004F0903" w:rsidRPr="006F68B9">
        <w:rPr>
          <w:rFonts w:cs="Arial"/>
          <w:color w:val="000000" w:themeColor="text1"/>
        </w:rPr>
        <w:t xml:space="preserve"> namely the</w:t>
      </w:r>
      <w:r w:rsidRPr="006F68B9">
        <w:rPr>
          <w:rFonts w:cs="Arial"/>
          <w:color w:val="000000" w:themeColor="text1"/>
        </w:rPr>
        <w:t xml:space="preserve"> Stay Away and No Contact </w:t>
      </w:r>
      <w:r w:rsidR="00A75432" w:rsidRPr="006F68B9">
        <w:rPr>
          <w:rFonts w:cs="Arial"/>
          <w:color w:val="000000" w:themeColor="text1"/>
        </w:rPr>
        <w:t>O</w:t>
      </w:r>
      <w:r w:rsidRPr="006F68B9">
        <w:rPr>
          <w:rFonts w:cs="Arial"/>
          <w:color w:val="000000" w:themeColor="text1"/>
        </w:rPr>
        <w:t>rders, in addition to the current Domestic Exclusion and Counselling Orders.</w:t>
      </w:r>
      <w:r w:rsidR="005520F2" w:rsidRPr="006F68B9">
        <w:rPr>
          <w:rFonts w:cs="Arial"/>
          <w:color w:val="000000" w:themeColor="text1"/>
        </w:rPr>
        <w:t xml:space="preserve"> To strengthen the Government’s ability to intervene in family violence cases, we also introduced Emergency Orders, which are issued on site in high-risk cases to </w:t>
      </w:r>
      <w:r w:rsidR="005B2BDC" w:rsidRPr="006F68B9">
        <w:rPr>
          <w:rFonts w:cs="Arial"/>
          <w:color w:val="000000" w:themeColor="text1"/>
        </w:rPr>
        <w:t xml:space="preserve">better protect </w:t>
      </w:r>
      <w:r w:rsidR="005A777E" w:rsidRPr="006F68B9">
        <w:rPr>
          <w:rFonts w:cs="Arial"/>
          <w:color w:val="000000" w:themeColor="text1"/>
        </w:rPr>
        <w:t>victim-survivors</w:t>
      </w:r>
      <w:r w:rsidR="00E85443" w:rsidRPr="006F68B9">
        <w:rPr>
          <w:rFonts w:cs="Arial"/>
          <w:color w:val="000000" w:themeColor="text1"/>
        </w:rPr>
        <w:t xml:space="preserve"> at the onset of violence, while further action is taken to ensure their </w:t>
      </w:r>
      <w:r w:rsidR="00D31713" w:rsidRPr="006F68B9">
        <w:rPr>
          <w:rFonts w:cs="Arial"/>
          <w:color w:val="000000" w:themeColor="text1"/>
        </w:rPr>
        <w:t>safety, such as applying for a Personal Protection Order</w:t>
      </w:r>
      <w:r w:rsidR="00C86626" w:rsidRPr="006F68B9">
        <w:rPr>
          <w:rFonts w:cs="Arial"/>
          <w:color w:val="000000" w:themeColor="text1"/>
        </w:rPr>
        <w:t xml:space="preserve"> or Expedited Order</w:t>
      </w:r>
      <w:r w:rsidR="005520F2" w:rsidRPr="006F68B9">
        <w:rPr>
          <w:rFonts w:cs="Arial"/>
          <w:color w:val="000000" w:themeColor="text1"/>
        </w:rPr>
        <w:t xml:space="preserve">. </w:t>
      </w:r>
      <w:r w:rsidR="00FB59D8" w:rsidRPr="006F68B9">
        <w:rPr>
          <w:rFonts w:cs="Arial"/>
          <w:color w:val="000000" w:themeColor="text1"/>
        </w:rPr>
        <w:t>The amendments also further empowered the Court to make additional rehabilitative provisions, raised penalties</w:t>
      </w:r>
      <w:r w:rsidR="00FB59D8" w:rsidRPr="006F68B9">
        <w:rPr>
          <w:rStyle w:val="FootnoteReference"/>
        </w:rPr>
        <w:footnoteReference w:id="15"/>
      </w:r>
      <w:r w:rsidR="00FB59D8" w:rsidRPr="006F68B9">
        <w:rPr>
          <w:rFonts w:cs="Arial"/>
          <w:color w:val="000000" w:themeColor="text1"/>
        </w:rPr>
        <w:t xml:space="preserve"> and strengthened enforcement</w:t>
      </w:r>
      <w:r w:rsidR="00FB59D8" w:rsidRPr="006F68B9">
        <w:rPr>
          <w:rStyle w:val="FootnoteReference"/>
        </w:rPr>
        <w:footnoteReference w:id="16"/>
      </w:r>
      <w:r w:rsidR="00FB59D8" w:rsidRPr="006F68B9">
        <w:rPr>
          <w:rFonts w:cs="Arial"/>
          <w:color w:val="000000" w:themeColor="text1"/>
        </w:rPr>
        <w:t xml:space="preserve"> against breaches. </w:t>
      </w:r>
    </w:p>
    <w:p w14:paraId="6BC126A6" w14:textId="2FF2D577" w:rsidR="004E329B" w:rsidRPr="00F44592" w:rsidRDefault="00F16F35" w:rsidP="0045392A">
      <w:pPr>
        <w:pStyle w:val="ListParagraph"/>
        <w:numPr>
          <w:ilvl w:val="0"/>
          <w:numId w:val="21"/>
        </w:numPr>
        <w:rPr>
          <w:i/>
          <w:iCs/>
        </w:rPr>
      </w:pPr>
      <w:r>
        <w:rPr>
          <w:i/>
          <w:iCs/>
        </w:rPr>
        <w:t>Strengthening p</w:t>
      </w:r>
      <w:r w:rsidR="000C2638" w:rsidRPr="00F44592">
        <w:rPr>
          <w:i/>
          <w:iCs/>
        </w:rPr>
        <w:t>ublic education efforts</w:t>
      </w:r>
    </w:p>
    <w:p w14:paraId="0E18BD17" w14:textId="45EC15CE" w:rsidR="002D05DB" w:rsidRPr="00903167" w:rsidRDefault="002D05DB" w:rsidP="00D3336B">
      <w:pPr>
        <w:jc w:val="both"/>
      </w:pPr>
      <w:r w:rsidRPr="00903167">
        <w:t xml:space="preserve">MSF’s Break the Silence public education campaign was refreshed in 2021. The campaign aims to increase awareness of different types of abuse, including non-physical abuse, and to encourage survivors and bystanders to seek help. As part of the campaign, MSF has also introduced the use of the </w:t>
      </w:r>
      <w:r w:rsidR="00AD35A1" w:rsidRPr="00903167">
        <w:t xml:space="preserve">“Signal for Help” </w:t>
      </w:r>
      <w:r w:rsidRPr="00903167">
        <w:t xml:space="preserve">hand sign so that survivors can call for help, discreetly. </w:t>
      </w:r>
      <w:r w:rsidR="4FBE1B3F" w:rsidRPr="00903167">
        <w:t>The campaign will be enhanced in 2024 to highlight the important message that domestic violence is not a private affair and a whole-of-society effort is required to stamp out abuse cases.</w:t>
      </w:r>
      <w:r w:rsidR="0D046EA7" w:rsidRPr="00903167">
        <w:t xml:space="preserve"> </w:t>
      </w:r>
      <w:r w:rsidR="00456405" w:rsidRPr="00903167">
        <w:t>To make it easier for victim-survivors of violence and the community to report violence and get immediate help, MSF launched the National Anti-Violence and Sexual Harassment Helpline (NAVH) in 2021.</w:t>
      </w:r>
      <w:r w:rsidR="00DD47BD" w:rsidRPr="00903167">
        <w:t xml:space="preserve"> MSF </w:t>
      </w:r>
      <w:r w:rsidR="008F1E0A" w:rsidRPr="00903167">
        <w:t xml:space="preserve">also </w:t>
      </w:r>
      <w:r w:rsidR="00DD47BD" w:rsidRPr="00903167">
        <w:t>introduced an online text-based channel as an additional mode of reporting to make it easier for persons to report violence and seek help.</w:t>
      </w:r>
    </w:p>
    <w:p w14:paraId="4B96EF7A" w14:textId="33DE6F1F" w:rsidR="00C7075F" w:rsidRPr="00903167" w:rsidRDefault="00A7536F" w:rsidP="00D3336B">
      <w:pPr>
        <w:jc w:val="both"/>
      </w:pPr>
      <w:r w:rsidRPr="00903167">
        <w:t xml:space="preserve">MSF has also been equipping our partners and the larger community with the </w:t>
      </w:r>
      <w:r w:rsidR="007F6C77" w:rsidRPr="00903167">
        <w:t xml:space="preserve">knowledge to </w:t>
      </w:r>
      <w:r w:rsidR="00F40B8C" w:rsidRPr="00903167">
        <w:t xml:space="preserve">spot </w:t>
      </w:r>
      <w:r w:rsidRPr="00903167">
        <w:t xml:space="preserve">and report signs of domestic violence. </w:t>
      </w:r>
      <w:r w:rsidR="007D5565" w:rsidRPr="00903167">
        <w:t>From</w:t>
      </w:r>
      <w:r w:rsidR="265221AD" w:rsidRPr="00903167">
        <w:t xml:space="preserve"> </w:t>
      </w:r>
      <w:r w:rsidR="00E25FA7" w:rsidRPr="00903167">
        <w:t>June 2020</w:t>
      </w:r>
      <w:r w:rsidR="265221AD" w:rsidRPr="00903167">
        <w:t xml:space="preserve"> till</w:t>
      </w:r>
      <w:r w:rsidR="005B183D" w:rsidRPr="00903167">
        <w:t xml:space="preserve"> Apr</w:t>
      </w:r>
      <w:r w:rsidR="00A773D8" w:rsidRPr="00903167">
        <w:t>il</w:t>
      </w:r>
      <w:r w:rsidR="005B183D" w:rsidRPr="00903167">
        <w:t xml:space="preserve"> 2024, </w:t>
      </w:r>
      <w:r w:rsidR="002D05DB" w:rsidRPr="00903167">
        <w:t xml:space="preserve">more than </w:t>
      </w:r>
      <w:r w:rsidR="00745081" w:rsidRPr="00903167">
        <w:t>8</w:t>
      </w:r>
      <w:r w:rsidR="002D05DB" w:rsidRPr="00903167">
        <w:t>,</w:t>
      </w:r>
      <w:r w:rsidR="00745081" w:rsidRPr="00903167">
        <w:t>6</w:t>
      </w:r>
      <w:r w:rsidR="002D05DB" w:rsidRPr="00903167">
        <w:t xml:space="preserve">00 people across the people, public, and private sectors have been trained </w:t>
      </w:r>
      <w:r w:rsidR="00416048" w:rsidRPr="00903167">
        <w:t xml:space="preserve">under the Domestic Violence </w:t>
      </w:r>
      <w:r w:rsidR="00F40B8C" w:rsidRPr="00903167">
        <w:t>Awareness</w:t>
      </w:r>
      <w:r w:rsidR="00416048" w:rsidRPr="00903167">
        <w:t xml:space="preserve"> Training</w:t>
      </w:r>
      <w:r w:rsidR="00F40B8C" w:rsidRPr="00903167">
        <w:t xml:space="preserve"> p</w:t>
      </w:r>
      <w:r w:rsidR="00416048" w:rsidRPr="00903167">
        <w:t>rogramme.</w:t>
      </w:r>
    </w:p>
    <w:p w14:paraId="5EF7634D" w14:textId="65868742" w:rsidR="001936BC" w:rsidRPr="00F44592" w:rsidRDefault="0046636F" w:rsidP="00C7075F">
      <w:pPr>
        <w:pStyle w:val="ListParagraph"/>
        <w:numPr>
          <w:ilvl w:val="0"/>
          <w:numId w:val="20"/>
        </w:numPr>
        <w:rPr>
          <w:b/>
          <w:bCs/>
        </w:rPr>
      </w:pPr>
      <w:r w:rsidRPr="00F44592">
        <w:rPr>
          <w:b/>
          <w:bCs/>
        </w:rPr>
        <w:t xml:space="preserve">Sexual </w:t>
      </w:r>
      <w:r w:rsidR="00375FE0" w:rsidRPr="00F44592">
        <w:rPr>
          <w:b/>
          <w:bCs/>
        </w:rPr>
        <w:t>violence</w:t>
      </w:r>
    </w:p>
    <w:p w14:paraId="7785B4EC" w14:textId="373428F5" w:rsidR="00BA1AFA" w:rsidRPr="00F44592" w:rsidRDefault="00EB1658" w:rsidP="0045392A">
      <w:pPr>
        <w:pStyle w:val="ListParagraph"/>
        <w:numPr>
          <w:ilvl w:val="0"/>
          <w:numId w:val="22"/>
        </w:numPr>
        <w:rPr>
          <w:i/>
          <w:iCs/>
          <w:lang w:val="en-GB"/>
        </w:rPr>
      </w:pPr>
      <w:r>
        <w:rPr>
          <w:i/>
          <w:iCs/>
          <w:lang w:val="en-GB"/>
        </w:rPr>
        <w:t>Changes to l</w:t>
      </w:r>
      <w:r w:rsidR="00BA1AFA" w:rsidRPr="00F44592">
        <w:rPr>
          <w:i/>
          <w:iCs/>
          <w:lang w:val="en-GB"/>
        </w:rPr>
        <w:t xml:space="preserve">egislation </w:t>
      </w:r>
    </w:p>
    <w:p w14:paraId="42CCEA65" w14:textId="765890A1" w:rsidR="004D7D7D" w:rsidRPr="004D7D7D" w:rsidRDefault="004D7D7D" w:rsidP="00D3336B">
      <w:pPr>
        <w:jc w:val="both"/>
        <w:rPr>
          <w:lang w:val="en-GB"/>
        </w:rPr>
      </w:pPr>
      <w:r w:rsidRPr="004D7D7D">
        <w:rPr>
          <w:lang w:val="en-GB"/>
        </w:rPr>
        <w:t xml:space="preserve">We maintain severe penalties for incidents of rape in our Penal Code, which is punishable </w:t>
      </w:r>
      <w:r w:rsidR="00504790">
        <w:rPr>
          <w:lang w:val="en-GB"/>
        </w:rPr>
        <w:t>with</w:t>
      </w:r>
      <w:r w:rsidR="00504790" w:rsidRPr="004D7D7D">
        <w:rPr>
          <w:lang w:val="en-GB"/>
        </w:rPr>
        <w:t xml:space="preserve"> </w:t>
      </w:r>
      <w:r w:rsidRPr="004D7D7D">
        <w:rPr>
          <w:lang w:val="en-GB"/>
        </w:rPr>
        <w:t>up to 20 years’ imprisonment.</w:t>
      </w:r>
    </w:p>
    <w:p w14:paraId="4A48F769" w14:textId="3EB17A95" w:rsidR="004D7D7D" w:rsidRDefault="00A34FAB" w:rsidP="00D3336B">
      <w:pPr>
        <w:jc w:val="both"/>
        <w:rPr>
          <w:lang w:val="en-GB"/>
        </w:rPr>
      </w:pPr>
      <w:r>
        <w:rPr>
          <w:lang w:val="en-GB"/>
        </w:rPr>
        <w:lastRenderedPageBreak/>
        <w:t xml:space="preserve">In 2019, </w:t>
      </w:r>
      <w:r w:rsidR="00DF04F8">
        <w:rPr>
          <w:lang w:val="en-GB"/>
        </w:rPr>
        <w:t>amendments to the Penal Code</w:t>
      </w:r>
      <w:r w:rsidR="004D7D7D" w:rsidRPr="004D7D7D">
        <w:rPr>
          <w:lang w:val="en-GB"/>
        </w:rPr>
        <w:t xml:space="preserve"> removed marital immunity for rape and enhanced penalties where offences are committed against victims in an intimate or close relationship with the offender</w:t>
      </w:r>
      <w:r w:rsidR="00727997">
        <w:rPr>
          <w:lang w:val="en-GB"/>
        </w:rPr>
        <w:t>, domestic workers</w:t>
      </w:r>
      <w:r w:rsidR="00E1536A">
        <w:rPr>
          <w:lang w:val="en-GB"/>
        </w:rPr>
        <w:t>,</w:t>
      </w:r>
      <w:r w:rsidR="00727997">
        <w:rPr>
          <w:lang w:val="en-GB"/>
        </w:rPr>
        <w:t xml:space="preserve"> </w:t>
      </w:r>
      <w:r w:rsidR="007A3D30">
        <w:rPr>
          <w:lang w:val="en-GB"/>
        </w:rPr>
        <w:t>and persons with disabilities</w:t>
      </w:r>
      <w:r w:rsidR="004D7D7D" w:rsidRPr="004D7D7D">
        <w:rPr>
          <w:lang w:val="en-GB"/>
        </w:rPr>
        <w:t>.</w:t>
      </w:r>
      <w:r w:rsidR="007A3D30">
        <w:rPr>
          <w:lang w:val="en-GB"/>
        </w:rPr>
        <w:t xml:space="preserve"> </w:t>
      </w:r>
      <w:r w:rsidR="00B467E4">
        <w:rPr>
          <w:lang w:val="en-GB"/>
        </w:rPr>
        <w:t xml:space="preserve">New sexual offences were also introduced to deal with </w:t>
      </w:r>
      <w:r w:rsidR="00A44544">
        <w:rPr>
          <w:lang w:val="en-GB"/>
        </w:rPr>
        <w:t>technology-facilitated offences, including using a child to produce child abuse materials</w:t>
      </w:r>
      <w:r w:rsidR="00D1556C">
        <w:rPr>
          <w:lang w:val="en-GB"/>
        </w:rPr>
        <w:t>.</w:t>
      </w:r>
    </w:p>
    <w:p w14:paraId="28F55CAC" w14:textId="446E8911" w:rsidR="0046636F" w:rsidRPr="00C7075F" w:rsidRDefault="00A34FAB" w:rsidP="00D3336B">
      <w:pPr>
        <w:jc w:val="both"/>
        <w:rPr>
          <w:rFonts w:cs="Arial"/>
          <w:u w:val="single"/>
        </w:rPr>
      </w:pPr>
      <w:r>
        <w:rPr>
          <w:lang w:val="en-GB"/>
        </w:rPr>
        <w:t>Further amendments to the Penal Code in 2021</w:t>
      </w:r>
      <w:r w:rsidRPr="4096F4B2">
        <w:rPr>
          <w:rFonts w:cs="Arial"/>
        </w:rPr>
        <w:t xml:space="preserve"> (which came into effect on 1 March 2022) were introduced to enhance deterrence by increasing the prescribed penalties for certain sexual offences</w:t>
      </w:r>
      <w:r>
        <w:rPr>
          <w:rFonts w:cs="Arial"/>
        </w:rPr>
        <w:t xml:space="preserve">. </w:t>
      </w:r>
      <w:r w:rsidR="00934EDD">
        <w:rPr>
          <w:rFonts w:cs="Arial"/>
        </w:rPr>
        <w:t>For instance, t</w:t>
      </w:r>
      <w:r>
        <w:rPr>
          <w:rFonts w:cs="Arial"/>
        </w:rPr>
        <w:t xml:space="preserve">he maximum </w:t>
      </w:r>
      <w:r w:rsidR="004E48C7">
        <w:rPr>
          <w:rFonts w:cs="Arial"/>
        </w:rPr>
        <w:t xml:space="preserve">imprisonment term for outrage of modesty cases was increased from two to three years. </w:t>
      </w:r>
    </w:p>
    <w:p w14:paraId="77F4B9C3" w14:textId="223217B3" w:rsidR="008B35E9" w:rsidRPr="00F44592" w:rsidRDefault="00B72121" w:rsidP="0045392A">
      <w:pPr>
        <w:pStyle w:val="ListParagraph"/>
        <w:numPr>
          <w:ilvl w:val="0"/>
          <w:numId w:val="22"/>
        </w:numPr>
        <w:rPr>
          <w:i/>
          <w:iCs/>
        </w:rPr>
      </w:pPr>
      <w:r w:rsidRPr="00F44592">
        <w:rPr>
          <w:i/>
          <w:iCs/>
        </w:rPr>
        <w:t>Increasing v</w:t>
      </w:r>
      <w:r w:rsidR="000D075A" w:rsidRPr="00F44592">
        <w:rPr>
          <w:i/>
          <w:iCs/>
        </w:rPr>
        <w:t>ictim support</w:t>
      </w:r>
    </w:p>
    <w:p w14:paraId="0F9B3114" w14:textId="349838CF" w:rsidR="000D075A" w:rsidRPr="000D075A" w:rsidRDefault="000D075A" w:rsidP="00D3336B">
      <w:pPr>
        <w:jc w:val="both"/>
      </w:pPr>
      <w:bookmarkStart w:id="23" w:name="_Hlk161060593"/>
      <w:r w:rsidRPr="000D075A">
        <w:t>Forensic medical examinations of victims may be required in serious sexual crimes cases such as rape and sexual assault by penetration.</w:t>
      </w:r>
    </w:p>
    <w:p w14:paraId="0BC2F402" w14:textId="6B3392EB" w:rsidR="000D075A" w:rsidRDefault="000D075A" w:rsidP="00D3336B">
      <w:pPr>
        <w:jc w:val="both"/>
      </w:pPr>
      <w:r w:rsidRPr="000D075A">
        <w:t>If required, victims of sexual crime may be brought to the One-Stop Abuse Forensic Examination (</w:t>
      </w:r>
      <w:proofErr w:type="spellStart"/>
      <w:r w:rsidRPr="000D075A">
        <w:t>OneSAFE</w:t>
      </w:r>
      <w:proofErr w:type="spellEnd"/>
      <w:r w:rsidRPr="000D075A">
        <w:t>) Centre, located at Police Cantonment Complex, or a hospital to undergo forensic medical examination conducted by medical professionals.</w:t>
      </w:r>
      <w:r>
        <w:t xml:space="preserve"> </w:t>
      </w:r>
      <w:r w:rsidRPr="000D075A">
        <w:t xml:space="preserve">The </w:t>
      </w:r>
      <w:proofErr w:type="spellStart"/>
      <w:r w:rsidRPr="000D075A">
        <w:t>OneSAFE</w:t>
      </w:r>
      <w:proofErr w:type="spellEnd"/>
      <w:r w:rsidRPr="000D075A">
        <w:t xml:space="preserve"> Centre allows sexual crime victims to undergo the necessary forensic and medical examinations in a private facility in the Police Cantonment Complex. The </w:t>
      </w:r>
      <w:proofErr w:type="spellStart"/>
      <w:r w:rsidRPr="000D075A">
        <w:t>OneSAFE</w:t>
      </w:r>
      <w:proofErr w:type="spellEnd"/>
      <w:r w:rsidRPr="000D075A">
        <w:t xml:space="preserve"> Centre will serve adult rape victims whose cases are reported within 72 hours of the assault, and who do not require other medical attention.</w:t>
      </w:r>
    </w:p>
    <w:p w14:paraId="337BDB41" w14:textId="7F587FFF" w:rsidR="00B72121" w:rsidRDefault="003716C1" w:rsidP="00D3336B">
      <w:pPr>
        <w:jc w:val="both"/>
      </w:pPr>
      <w:r w:rsidRPr="002320C1">
        <w:t xml:space="preserve">The </w:t>
      </w:r>
      <w:r>
        <w:t>Singapore Police Force (SPF)</w:t>
      </w:r>
      <w:r w:rsidRPr="002320C1">
        <w:t xml:space="preserve"> also formed the Sexual Crime and Family Violence Command in 2023. This was to raise the standards of investigations and provide better oversight of the management of sexual crime and family violence cases.</w:t>
      </w:r>
    </w:p>
    <w:p w14:paraId="1D7856A2" w14:textId="3BE4F220" w:rsidR="00F82A01" w:rsidRPr="00F44592" w:rsidRDefault="00F82A01" w:rsidP="0045392A">
      <w:pPr>
        <w:pStyle w:val="ListParagraph"/>
        <w:numPr>
          <w:ilvl w:val="0"/>
          <w:numId w:val="22"/>
        </w:numPr>
        <w:rPr>
          <w:i/>
          <w:iCs/>
        </w:rPr>
      </w:pPr>
      <w:r w:rsidRPr="00F44592">
        <w:rPr>
          <w:i/>
          <w:iCs/>
        </w:rPr>
        <w:t>Gender sensitivity training</w:t>
      </w:r>
    </w:p>
    <w:p w14:paraId="73577961" w14:textId="1D8C684C" w:rsidR="009D58A8" w:rsidRDefault="009D58A8" w:rsidP="00D3336B">
      <w:pPr>
        <w:jc w:val="both"/>
      </w:pPr>
      <w:r w:rsidRPr="009D58A8">
        <w:t xml:space="preserve">The Government firmly believes that mandatory and recurring capacity-building programmes are important to equip relevant officers with the skills necessary to </w:t>
      </w:r>
      <w:r w:rsidR="00E8794A">
        <w:t>deal with</w:t>
      </w:r>
      <w:r w:rsidRPr="009D58A8">
        <w:t xml:space="preserve"> cases of gender-based violence against women and to treat victims in a gender-sensitive manner.</w:t>
      </w:r>
    </w:p>
    <w:p w14:paraId="2C90A857" w14:textId="3777BB47" w:rsidR="00750EFB" w:rsidRDefault="00750EFB" w:rsidP="0045392A">
      <w:pPr>
        <w:pStyle w:val="ListParagraph"/>
        <w:numPr>
          <w:ilvl w:val="1"/>
          <w:numId w:val="22"/>
        </w:numPr>
      </w:pPr>
      <w:r w:rsidRPr="009562C5">
        <w:rPr>
          <w:i/>
          <w:iCs/>
        </w:rPr>
        <w:t>Judges and judicial officers; police officers, prosecutors</w:t>
      </w:r>
    </w:p>
    <w:p w14:paraId="474322E3" w14:textId="4C2D9A64" w:rsidR="00D70EE7" w:rsidRPr="00B72121" w:rsidRDefault="00D70EE7" w:rsidP="00B72121">
      <w:pPr>
        <w:spacing w:line="259" w:lineRule="auto"/>
        <w:jc w:val="both"/>
        <w:rPr>
          <w:rFonts w:cs="Arial"/>
          <w:color w:val="000000" w:themeColor="text1"/>
          <w:szCs w:val="24"/>
          <w:lang w:bidi="ta-IN"/>
        </w:rPr>
      </w:pPr>
      <w:r w:rsidRPr="00B72121">
        <w:rPr>
          <w:rFonts w:cs="Arial"/>
          <w:color w:val="000000" w:themeColor="text1"/>
          <w:lang w:bidi="ta-IN"/>
        </w:rPr>
        <w:t>All appointed Judges and Judicial Officers undergo a mandatory Induction Programme at the Singapore Judicial College (SJC) which includes gender-sensitivity training for cases involving violence against women, whether in the context of an intimate relationship or in the family. The Induction Programme also provides an update on substantive law and cases on related issues.</w:t>
      </w:r>
    </w:p>
    <w:p w14:paraId="759E4B08" w14:textId="77777777" w:rsidR="00D70EE7" w:rsidRPr="00B72121" w:rsidRDefault="00D70EE7" w:rsidP="00B72121">
      <w:pPr>
        <w:spacing w:line="259" w:lineRule="auto"/>
        <w:jc w:val="both"/>
        <w:rPr>
          <w:rFonts w:eastAsiaTheme="minorEastAsia" w:cs="Arial"/>
          <w:color w:val="000000" w:themeColor="text1"/>
          <w:szCs w:val="24"/>
          <w:lang w:bidi="ta-IN"/>
        </w:rPr>
      </w:pPr>
      <w:r w:rsidRPr="00B72121">
        <w:rPr>
          <w:rFonts w:eastAsiaTheme="minorEastAsia" w:cs="Arial"/>
          <w:color w:val="000000" w:themeColor="text1"/>
          <w:lang w:bidi="ta-IN"/>
        </w:rPr>
        <w:t>The SJC also organises periodic training workshops and lectures for Judges and Judicial Officers on these same areas. For example, in 2018, the SJC worked with senior forensic and clinical psychologists to deliver a workshop on “Understanding the Psychology of Sexual Assault Victims”. This workshop specifically addressed the misconceptions surrounding sexual offending and victim behaviours. Such capacity building programmes will continue to be held in the future.</w:t>
      </w:r>
    </w:p>
    <w:p w14:paraId="0303F4F2" w14:textId="343F5D16" w:rsidR="00D70EE7" w:rsidRDefault="00D93F3B" w:rsidP="00522794">
      <w:pPr>
        <w:jc w:val="both"/>
        <w:rPr>
          <w:rFonts w:eastAsiaTheme="minorEastAsia" w:cs="Arial"/>
          <w:color w:val="000000" w:themeColor="text1"/>
          <w:lang w:bidi="ta-IN"/>
        </w:rPr>
      </w:pPr>
      <w:r w:rsidRPr="1E03CB02">
        <w:rPr>
          <w:rFonts w:eastAsiaTheme="minorEastAsia" w:cs="Arial"/>
          <w:color w:val="000000" w:themeColor="text1"/>
          <w:lang w:bidi="ta-IN"/>
        </w:rPr>
        <w:t>Judges sitting on the Protection from Harassment Court, a specialised Court dedicated to dealing with harassment matters, also attend training by PAVE on domestic vio</w:t>
      </w:r>
      <w:r w:rsidR="00B07033">
        <w:rPr>
          <w:rFonts w:eastAsiaTheme="minorEastAsia" w:cs="Arial"/>
          <w:color w:val="000000" w:themeColor="text1"/>
          <w:lang w:bidi="ta-IN"/>
        </w:rPr>
        <w:t>l</w:t>
      </w:r>
      <w:r w:rsidRPr="1E03CB02">
        <w:rPr>
          <w:rFonts w:eastAsiaTheme="minorEastAsia" w:cs="Arial"/>
          <w:color w:val="000000" w:themeColor="text1"/>
          <w:lang w:bidi="ta-IN"/>
        </w:rPr>
        <w:t>ence.</w:t>
      </w:r>
    </w:p>
    <w:p w14:paraId="47E624A2" w14:textId="77777777" w:rsidR="00DE4821" w:rsidRPr="00B72121" w:rsidRDefault="00DE4821" w:rsidP="00522794">
      <w:pPr>
        <w:tabs>
          <w:tab w:val="left" w:pos="1414"/>
        </w:tabs>
        <w:spacing w:before="120" w:after="120"/>
        <w:jc w:val="both"/>
        <w:rPr>
          <w:rFonts w:cs="Arial"/>
        </w:rPr>
      </w:pPr>
      <w:r w:rsidRPr="00B72121">
        <w:rPr>
          <w:rFonts w:cs="Arial"/>
        </w:rPr>
        <w:t xml:space="preserve">Police officers are trained to identify vulnerable victims and treat them sensitively to reduce the likelihood of re-traumatisation. During interviews, female officers are present to assist in the interviews where </w:t>
      </w:r>
      <w:r w:rsidRPr="00B72121">
        <w:rPr>
          <w:rFonts w:cs="Arial"/>
        </w:rPr>
        <w:lastRenderedPageBreak/>
        <w:t>necessary. This comprehensive triage process is applied to anyone who might be a potential victim. Investigations into crimes such as sexual assault or abuse follow the same process.</w:t>
      </w:r>
      <w:bookmarkStart w:id="24" w:name="_Hlk161061224"/>
      <w:r w:rsidRPr="00B72121">
        <w:rPr>
          <w:rFonts w:cs="Arial"/>
        </w:rPr>
        <w:t xml:space="preserve"> </w:t>
      </w:r>
      <w:bookmarkEnd w:id="24"/>
    </w:p>
    <w:p w14:paraId="4C0102A1" w14:textId="5E8CFECC" w:rsidR="000E5529" w:rsidRDefault="000E5529" w:rsidP="00B72121">
      <w:pPr>
        <w:tabs>
          <w:tab w:val="left" w:pos="1414"/>
        </w:tabs>
        <w:spacing w:before="120" w:after="120" w:line="259" w:lineRule="auto"/>
        <w:jc w:val="both"/>
        <w:rPr>
          <w:rFonts w:eastAsia="Arial" w:cs="Arial"/>
        </w:rPr>
      </w:pPr>
      <w:r w:rsidRPr="00B72121">
        <w:rPr>
          <w:rFonts w:eastAsia="Arial" w:cs="Arial"/>
        </w:rPr>
        <w:t>New prosecutors with the Attorney-General’s Chambers, which houses the central prosecuting agency, undergo general training which covers sex crimes and crimes of violence. Prosecutors who deal with cases involving vulnerable witnesses, including women and girls who are victims of sexual crime, receive specific forensic interview training (both in plenary and practicum formats) in prosecuting such cases on a yearly basis, and attend biennial forensic training conducted by The American Professional Society on the Abuse of Children.</w:t>
      </w:r>
    </w:p>
    <w:p w14:paraId="2BCE3602" w14:textId="4FF50E3D" w:rsidR="00750EFB" w:rsidRPr="009562C5" w:rsidRDefault="00750EFB" w:rsidP="0045392A">
      <w:pPr>
        <w:pStyle w:val="ListParagraph"/>
        <w:numPr>
          <w:ilvl w:val="1"/>
          <w:numId w:val="22"/>
        </w:numPr>
        <w:tabs>
          <w:tab w:val="left" w:pos="1414"/>
        </w:tabs>
        <w:spacing w:before="120" w:after="120" w:line="259" w:lineRule="auto"/>
        <w:jc w:val="both"/>
        <w:rPr>
          <w:rFonts w:eastAsia="Arial" w:cs="Arial"/>
        </w:rPr>
      </w:pPr>
      <w:r w:rsidRPr="009562C5">
        <w:rPr>
          <w:rFonts w:eastAsia="Arial" w:cs="Arial"/>
          <w:i/>
          <w:iCs/>
        </w:rPr>
        <w:t>Social workers</w:t>
      </w:r>
    </w:p>
    <w:p w14:paraId="1010F563" w14:textId="09924A76" w:rsidR="0098000D" w:rsidRDefault="0098000D" w:rsidP="00B72121">
      <w:pPr>
        <w:tabs>
          <w:tab w:val="left" w:pos="1414"/>
        </w:tabs>
        <w:spacing w:before="120" w:after="120" w:line="259" w:lineRule="auto"/>
        <w:jc w:val="both"/>
        <w:rPr>
          <w:rFonts w:eastAsia="Arial" w:cs="Arial"/>
          <w:lang w:eastAsia="en-SG"/>
        </w:rPr>
      </w:pPr>
      <w:r w:rsidRPr="00B72121">
        <w:rPr>
          <w:rFonts w:eastAsia="Arial" w:cs="Arial"/>
          <w:lang w:eastAsia="en-SG"/>
        </w:rPr>
        <w:t>Social workers are trained to respond sensitively to all persons in need, taking into consideration the context of their experience and its impact on them.  For victims of crimes (sexual abuse/assault/trafficking etc) and violence, Social Workers are sensiti</w:t>
      </w:r>
      <w:r w:rsidR="009871F3">
        <w:rPr>
          <w:rFonts w:eastAsia="Arial" w:cs="Arial"/>
          <w:lang w:eastAsia="en-SG"/>
        </w:rPr>
        <w:t>s</w:t>
      </w:r>
      <w:r w:rsidRPr="00B72121">
        <w:rPr>
          <w:rFonts w:eastAsia="Arial" w:cs="Arial"/>
          <w:lang w:eastAsia="en-SG"/>
        </w:rPr>
        <w:t>ed to respond to them in an accepting and non-judgmental manner. Social Workers are also equipped with the knowledge and skills to explore and assess the impact of the experience on the victims’ psychosocial and emotional functioning; and provide them with the required support. In addition, in-service training is provided to sensitize Social Workers to issues of trauma which is common amongst victims of crime and violence; so that Social Workers are equipped to identify and refer victims for psychological support when required.</w:t>
      </w:r>
    </w:p>
    <w:p w14:paraId="1B6AED3B" w14:textId="0D97752E" w:rsidR="00750EFB" w:rsidRPr="009562C5" w:rsidRDefault="00750EFB" w:rsidP="0045392A">
      <w:pPr>
        <w:pStyle w:val="ListParagraph"/>
        <w:numPr>
          <w:ilvl w:val="1"/>
          <w:numId w:val="22"/>
        </w:numPr>
        <w:tabs>
          <w:tab w:val="left" w:pos="1414"/>
        </w:tabs>
        <w:spacing w:before="120" w:after="120" w:line="259" w:lineRule="auto"/>
        <w:jc w:val="both"/>
        <w:rPr>
          <w:rFonts w:eastAsia="Arial" w:cs="Arial"/>
          <w:szCs w:val="24"/>
          <w:lang w:eastAsia="en-SG"/>
        </w:rPr>
      </w:pPr>
      <w:r w:rsidRPr="009562C5">
        <w:rPr>
          <w:rFonts w:eastAsia="Arial" w:cs="Arial"/>
          <w:i/>
          <w:iCs/>
          <w:lang w:eastAsia="en-SG"/>
        </w:rPr>
        <w:t xml:space="preserve">Healthcare workers </w:t>
      </w:r>
    </w:p>
    <w:p w14:paraId="77B70D21" w14:textId="27DADB8B" w:rsidR="000D075A" w:rsidRPr="00C7075F" w:rsidRDefault="00EB77F9" w:rsidP="00552063">
      <w:pPr>
        <w:suppressAutoHyphens/>
        <w:spacing w:before="120" w:after="120" w:line="259" w:lineRule="auto"/>
        <w:jc w:val="both"/>
        <w:rPr>
          <w:rFonts w:eastAsia="Arial" w:cs="Arial"/>
          <w:lang w:eastAsia="en-SG"/>
        </w:rPr>
      </w:pPr>
      <w:r w:rsidRPr="00B72121">
        <w:rPr>
          <w:rFonts w:eastAsia="Arial" w:cs="Arial"/>
          <w:lang w:eastAsia="en-SG"/>
        </w:rPr>
        <w:t>For sex abuse cases, there will be a multidisciplinary interview (MDI) involving the police and the gynaecologist at the same time, so that the patient does not need to repeat their story (which risks re-traumatisation). If it is a female patient being examined by a male gynaecologist, there will be another female nurse in the room as well for patient safety. This is protocol not just for sex abuse cases, but the general protocol for all medical examinations involving male doctors and female patients. These services are applicable to women regardless of language and ethnicity.</w:t>
      </w:r>
      <w:bookmarkEnd w:id="23"/>
    </w:p>
    <w:p w14:paraId="0C0474E4" w14:textId="5247AD06" w:rsidR="008B35E9" w:rsidRPr="009562C5" w:rsidRDefault="009A29BF" w:rsidP="0045392A">
      <w:pPr>
        <w:pStyle w:val="ListParagraph"/>
        <w:numPr>
          <w:ilvl w:val="0"/>
          <w:numId w:val="22"/>
        </w:numPr>
        <w:rPr>
          <w:i/>
          <w:iCs/>
        </w:rPr>
      </w:pPr>
      <w:r w:rsidRPr="009562C5">
        <w:rPr>
          <w:i/>
          <w:iCs/>
        </w:rPr>
        <w:t xml:space="preserve">Efforts in schools </w:t>
      </w:r>
    </w:p>
    <w:p w14:paraId="5D2A2099" w14:textId="350AA988" w:rsidR="00A9275B" w:rsidRPr="00547ADC" w:rsidRDefault="00A9275B" w:rsidP="00B173B0">
      <w:pPr>
        <w:pStyle w:val="ListParagraph"/>
        <w:ind w:left="30"/>
        <w:jc w:val="both"/>
        <w:rPr>
          <w:rFonts w:cs="Arial"/>
          <w:szCs w:val="24"/>
          <w:lang w:eastAsia="en-SG"/>
        </w:rPr>
      </w:pPr>
    </w:p>
    <w:p w14:paraId="2C96EEFA" w14:textId="77777777" w:rsidR="00C003F3" w:rsidRDefault="00C003F3" w:rsidP="00C003F3">
      <w:pPr>
        <w:pStyle w:val="ListParagraph"/>
        <w:ind w:left="30"/>
        <w:jc w:val="both"/>
        <w:rPr>
          <w:rFonts w:cs="Arial"/>
          <w:lang w:eastAsia="en-SG"/>
        </w:rPr>
      </w:pPr>
      <w:r w:rsidRPr="007F0B58">
        <w:rPr>
          <w:rFonts w:cs="Arial"/>
          <w:lang w:eastAsia="en-SG"/>
        </w:rPr>
        <w:t xml:space="preserve">Our schools and </w:t>
      </w:r>
      <w:r>
        <w:rPr>
          <w:rFonts w:cs="Arial"/>
          <w:lang w:eastAsia="en-SG"/>
        </w:rPr>
        <w:t>IHLs</w:t>
      </w:r>
      <w:r w:rsidRPr="007F0B58">
        <w:rPr>
          <w:rFonts w:cs="Arial"/>
          <w:lang w:eastAsia="en-SG"/>
        </w:rPr>
        <w:t xml:space="preserve"> are committed to provide a safe and supportive environment for all students. We take a serious view of any form of sexual harassment and bullying, including gender-based bullying. School rules and disciplinary frameworks are clearly and regularly communicated to staff and students. </w:t>
      </w:r>
    </w:p>
    <w:p w14:paraId="355AAEC2" w14:textId="77777777" w:rsidR="00C003F3" w:rsidRPr="007F0B58" w:rsidRDefault="00C003F3" w:rsidP="00C003F3">
      <w:pPr>
        <w:pStyle w:val="ListParagraph"/>
        <w:ind w:left="30"/>
        <w:jc w:val="both"/>
        <w:rPr>
          <w:rFonts w:cs="Arial"/>
          <w:lang w:eastAsia="en-SG"/>
        </w:rPr>
      </w:pPr>
    </w:p>
    <w:p w14:paraId="72EF1C52" w14:textId="77777777" w:rsidR="00C003F3" w:rsidRPr="007F0B58" w:rsidRDefault="00C003F3" w:rsidP="00C003F3">
      <w:pPr>
        <w:pStyle w:val="ListParagraph"/>
        <w:ind w:left="30"/>
        <w:jc w:val="both"/>
        <w:rPr>
          <w:rFonts w:cs="Arial"/>
          <w:lang w:eastAsia="en-SG"/>
        </w:rPr>
      </w:pPr>
      <w:r w:rsidRPr="007F0B58">
        <w:rPr>
          <w:rFonts w:cs="Arial"/>
          <w:lang w:eastAsia="en-SG"/>
        </w:rPr>
        <w:t>Schools and IHLs provide readily accessible channels (e.g. through form teachers/class advisors, counsellors, incident reporting helplines or whistleblowing units) for the safe reporting of cases and take educative, preventive and intervention measures to address them promptly. Parents can also raise issues with their children’s respective schools.</w:t>
      </w:r>
    </w:p>
    <w:p w14:paraId="5A1E5971" w14:textId="77777777" w:rsidR="00C003F3" w:rsidRPr="007F0B58" w:rsidRDefault="00C003F3" w:rsidP="00C003F3">
      <w:pPr>
        <w:pStyle w:val="ListParagraph"/>
        <w:ind w:left="30"/>
        <w:jc w:val="both"/>
        <w:rPr>
          <w:rFonts w:cs="Arial"/>
          <w:lang w:eastAsia="en-SG"/>
        </w:rPr>
      </w:pPr>
    </w:p>
    <w:p w14:paraId="595A345E" w14:textId="77777777" w:rsidR="00C003F3" w:rsidRPr="007F0B58" w:rsidRDefault="00C003F3" w:rsidP="00C003F3">
      <w:pPr>
        <w:pStyle w:val="ListParagraph"/>
        <w:ind w:left="30"/>
        <w:jc w:val="both"/>
        <w:rPr>
          <w:rFonts w:cs="Arial"/>
          <w:lang w:eastAsia="en-SG"/>
        </w:rPr>
      </w:pPr>
      <w:r w:rsidRPr="007F0B58">
        <w:rPr>
          <w:rFonts w:cs="Arial"/>
          <w:lang w:eastAsia="en-SG"/>
        </w:rPr>
        <w:t>Through the curriculum, students are taught the importance of respect, care, empathy and how to establish and respect boundaries for themselves and others.</w:t>
      </w:r>
      <w:r>
        <w:rPr>
          <w:rFonts w:cs="Arial"/>
          <w:lang w:eastAsia="en-SG"/>
        </w:rPr>
        <w:t xml:space="preserve"> </w:t>
      </w:r>
      <w:r w:rsidRPr="007F0B58">
        <w:rPr>
          <w:rFonts w:cs="Arial"/>
          <w:lang w:eastAsia="en-SG"/>
        </w:rPr>
        <w:t>They are taught to understand the consequences of overstepping these boundaries.</w:t>
      </w:r>
      <w:r>
        <w:rPr>
          <w:rFonts w:cs="Arial"/>
          <w:lang w:eastAsia="en-SG"/>
        </w:rPr>
        <w:t xml:space="preserve"> </w:t>
      </w:r>
      <w:r w:rsidRPr="007F0B58">
        <w:rPr>
          <w:rFonts w:cs="Arial"/>
          <w:lang w:eastAsia="en-SG"/>
        </w:rPr>
        <w:t xml:space="preserve">Students are also equipped to look out for their peers in distress and to seek help from trusted adults in school. </w:t>
      </w:r>
      <w:r>
        <w:rPr>
          <w:rFonts w:cs="Arial"/>
          <w:lang w:eastAsia="en-SG"/>
        </w:rPr>
        <w:t xml:space="preserve">In </w:t>
      </w:r>
      <w:r w:rsidRPr="007F0B58">
        <w:rPr>
          <w:rFonts w:cs="Arial"/>
          <w:lang w:eastAsia="en-SG"/>
        </w:rPr>
        <w:t>the IHLs, there are compulsory modules on respect and appropriate behaviour for student</w:t>
      </w:r>
      <w:r>
        <w:rPr>
          <w:rFonts w:cs="Arial"/>
          <w:lang w:eastAsia="en-SG"/>
        </w:rPr>
        <w:t>s.</w:t>
      </w:r>
    </w:p>
    <w:p w14:paraId="7497DEB3" w14:textId="77777777" w:rsidR="00C003F3" w:rsidRPr="007F0B58" w:rsidRDefault="00C003F3" w:rsidP="00C003F3">
      <w:pPr>
        <w:pStyle w:val="ListParagraph"/>
        <w:ind w:left="30"/>
        <w:jc w:val="both"/>
        <w:rPr>
          <w:rFonts w:cs="Arial"/>
          <w:lang w:eastAsia="en-SG"/>
        </w:rPr>
      </w:pPr>
    </w:p>
    <w:p w14:paraId="0C850503" w14:textId="767A803F" w:rsidR="00375FE0" w:rsidRDefault="00C003F3" w:rsidP="00552063">
      <w:pPr>
        <w:pStyle w:val="ListParagraph"/>
        <w:ind w:left="30"/>
        <w:jc w:val="both"/>
        <w:rPr>
          <w:rFonts w:cs="Arial"/>
          <w:lang w:eastAsia="en-SG"/>
        </w:rPr>
      </w:pPr>
      <w:r w:rsidRPr="007F0B58">
        <w:rPr>
          <w:rFonts w:cs="Arial"/>
          <w:lang w:eastAsia="en-SG"/>
        </w:rPr>
        <w:lastRenderedPageBreak/>
        <w:t>When alleged sexual harassment or bullying is reported, trained school personnel will investigate and provide counselling support for students involved and decide on appropriate disciplinary action.</w:t>
      </w:r>
    </w:p>
    <w:p w14:paraId="4965E97C" w14:textId="77777777" w:rsidR="00C7075F" w:rsidRDefault="00C7075F" w:rsidP="00552063">
      <w:pPr>
        <w:pStyle w:val="ListParagraph"/>
        <w:ind w:left="30"/>
        <w:jc w:val="both"/>
        <w:rPr>
          <w:rFonts w:cs="Arial"/>
          <w:lang w:eastAsia="en-SG"/>
        </w:rPr>
      </w:pPr>
    </w:p>
    <w:p w14:paraId="1423063A" w14:textId="6D3C4272" w:rsidR="001431DF" w:rsidRDefault="001431DF" w:rsidP="0045392A">
      <w:pPr>
        <w:pStyle w:val="ListParagraph"/>
        <w:numPr>
          <w:ilvl w:val="0"/>
          <w:numId w:val="20"/>
        </w:numPr>
        <w:rPr>
          <w:b/>
          <w:bCs/>
        </w:rPr>
      </w:pPr>
      <w:r w:rsidRPr="009562C5">
        <w:rPr>
          <w:b/>
          <w:bCs/>
        </w:rPr>
        <w:t xml:space="preserve">Harassment in </w:t>
      </w:r>
      <w:r w:rsidR="001A22A3" w:rsidRPr="009562C5">
        <w:rPr>
          <w:b/>
          <w:bCs/>
        </w:rPr>
        <w:t>workplaces</w:t>
      </w:r>
    </w:p>
    <w:p w14:paraId="6C26E947" w14:textId="77777777" w:rsidR="00552063" w:rsidRPr="009562C5" w:rsidRDefault="00552063" w:rsidP="00552063">
      <w:pPr>
        <w:pStyle w:val="ListParagraph"/>
        <w:rPr>
          <w:b/>
          <w:bCs/>
        </w:rPr>
      </w:pPr>
    </w:p>
    <w:p w14:paraId="36AD925B" w14:textId="2D39BDD3" w:rsidR="00075257" w:rsidRPr="009562C5" w:rsidRDefault="001D1584" w:rsidP="0045392A">
      <w:pPr>
        <w:pStyle w:val="ListParagraph"/>
        <w:numPr>
          <w:ilvl w:val="0"/>
          <w:numId w:val="23"/>
        </w:numPr>
        <w:rPr>
          <w:i/>
          <w:iCs/>
        </w:rPr>
      </w:pPr>
      <w:r w:rsidRPr="009562C5">
        <w:rPr>
          <w:i/>
          <w:iCs/>
        </w:rPr>
        <w:t xml:space="preserve">Legislation </w:t>
      </w:r>
    </w:p>
    <w:p w14:paraId="6C518335" w14:textId="18AB9A55" w:rsidR="001D1584" w:rsidRDefault="001D1584" w:rsidP="00D3336B">
      <w:pPr>
        <w:jc w:val="both"/>
      </w:pPr>
      <w:r w:rsidRPr="001D1584">
        <w:t>POHA has been an effective tool in combatting harassment since its inception.</w:t>
      </w:r>
      <w:r w:rsidR="005C2565">
        <w:t xml:space="preserve"> POHA </w:t>
      </w:r>
      <w:r w:rsidR="005C2565" w:rsidRPr="000F1F88">
        <w:t xml:space="preserve">also tracks the number of workplace harassment cases, amongst other types of harassment cases, filed. As at 31 December 2022, and out of the 866 </w:t>
      </w:r>
      <w:r w:rsidR="005C2565">
        <w:t>Protection Order</w:t>
      </w:r>
      <w:r w:rsidR="005C2565" w:rsidRPr="000F1F88">
        <w:t xml:space="preserve"> application</w:t>
      </w:r>
      <w:r w:rsidR="005C2565">
        <w:t>s</w:t>
      </w:r>
      <w:r w:rsidR="005C2565">
        <w:rPr>
          <w:rStyle w:val="FootnoteReference"/>
        </w:rPr>
        <w:footnoteReference w:id="17"/>
      </w:r>
      <w:r w:rsidR="005C2565">
        <w:t xml:space="preserve"> </w:t>
      </w:r>
      <w:r w:rsidR="005C2565" w:rsidRPr="000F1F88">
        <w:t>file</w:t>
      </w:r>
      <w:r w:rsidR="005C2565">
        <w:t>d</w:t>
      </w:r>
      <w:r w:rsidR="005C2565" w:rsidRPr="000F1F88">
        <w:t xml:space="preserve"> from 1 June 2021 to 31 December 2022, 203 cases involved workplace harassment.</w:t>
      </w:r>
    </w:p>
    <w:p w14:paraId="11331926" w14:textId="184AD4B3" w:rsidR="007D0791" w:rsidRPr="009562C5" w:rsidRDefault="003D4C0C" w:rsidP="0045392A">
      <w:pPr>
        <w:pStyle w:val="ListParagraph"/>
        <w:numPr>
          <w:ilvl w:val="0"/>
          <w:numId w:val="23"/>
        </w:numPr>
        <w:rPr>
          <w:i/>
          <w:iCs/>
        </w:rPr>
      </w:pPr>
      <w:r w:rsidRPr="009562C5">
        <w:rPr>
          <w:i/>
          <w:iCs/>
        </w:rPr>
        <w:t>Multipronged approach</w:t>
      </w:r>
    </w:p>
    <w:p w14:paraId="5ED32C4E" w14:textId="77777777" w:rsidR="003D4C0C" w:rsidRDefault="003D4C0C" w:rsidP="00D3336B">
      <w:pPr>
        <w:spacing w:line="259" w:lineRule="auto"/>
        <w:jc w:val="both"/>
      </w:pPr>
      <w:r>
        <w:t>Beyond enforcement, the Government and our tripartite partners also adopt a comprehensive, multi-pronged approach to tackling workplace harassment.</w:t>
      </w:r>
    </w:p>
    <w:p w14:paraId="2CF6D4FE" w14:textId="168E2AAE" w:rsidR="00572578" w:rsidRPr="00572578" w:rsidRDefault="00572578" w:rsidP="00D3336B">
      <w:pPr>
        <w:jc w:val="both"/>
      </w:pPr>
      <w:r>
        <w:t>T</w:t>
      </w:r>
      <w:r w:rsidRPr="00572578">
        <w:t>he Government together with our tripartite partners have introduced a Tripartite Advisory on Managing Workplace Harassment, which complements the law by providing guidance to employers and employees on preventing and managing harassment at the workplace to ensure a safe and harmonious workplace. For example, employers are guided to implement a workplace harassment prevention policy and to provide information and training on workplace harassment to staff.</w:t>
      </w:r>
    </w:p>
    <w:p w14:paraId="1455DE61" w14:textId="02EB5CDB" w:rsidR="00572578" w:rsidRPr="00572578" w:rsidRDefault="00572578" w:rsidP="00D3336B">
      <w:pPr>
        <w:jc w:val="both"/>
      </w:pPr>
      <w:r w:rsidRPr="00572578">
        <w:t>Our Tripartite Alliance for Fair and Progressive Employment Practices</w:t>
      </w:r>
      <w:r w:rsidR="003215EF">
        <w:t xml:space="preserve"> (TAFEP)</w:t>
      </w:r>
      <w:r w:rsidRPr="00572578">
        <w:t xml:space="preserve"> also supports the ecosystem in two key ways. First, when workplace harassment cases are surfaced, it will ask the employer to carry out a proper, independent investigation into the incident, if the employer has not done so. The Tripartite Alliance will also require the employer to provide an update on the disciplinary actions taken against the harasser if the report was found to be true, and to address the concerns raised by the affected individual. To prevent future incidents of workplace harassment, it will also work with the employer to put in place proper harassment prevention policies and procedures that are aligned with the Tripartite Advisory. For employers that are not cooperative or refuse to heed its advice, it can refer the matter to </w:t>
      </w:r>
      <w:r w:rsidR="00890FAA">
        <w:t>MOM</w:t>
      </w:r>
      <w:r w:rsidRPr="00572578">
        <w:t xml:space="preserve"> to take action against them. </w:t>
      </w:r>
    </w:p>
    <w:p w14:paraId="3D40FB5E" w14:textId="740E7DA9" w:rsidR="00572578" w:rsidRPr="00572578" w:rsidRDefault="00572578" w:rsidP="00D3336B">
      <w:pPr>
        <w:jc w:val="both"/>
      </w:pPr>
      <w:r w:rsidRPr="00572578">
        <w:t>Second, the Tripartite Alliance conduct</w:t>
      </w:r>
      <w:r w:rsidR="00F700AE">
        <w:t>s</w:t>
      </w:r>
      <w:r w:rsidRPr="00572578">
        <w:t xml:space="preserve"> regular courses to train key personnel to adopt policies to prevent and manage workplace harassment. In 2019, it expanded its efforts by setting up a Workplace Harassment Resource and Recourse Centre, to provide support for employees who have encountered workplace harassment. </w:t>
      </w:r>
      <w:r w:rsidR="002D6EB6">
        <w:t>MOM</w:t>
      </w:r>
      <w:r w:rsidRPr="00572578">
        <w:t xml:space="preserve"> and the Tripartite Alliance will continue to raise awareness of the Centre, so that </w:t>
      </w:r>
      <w:r w:rsidR="00D51A83">
        <w:t>employees can</w:t>
      </w:r>
      <w:r w:rsidRPr="00572578">
        <w:t xml:space="preserve"> feel safe</w:t>
      </w:r>
      <w:r w:rsidR="00D51A83">
        <w:t>r</w:t>
      </w:r>
      <w:r w:rsidRPr="00572578">
        <w:t xml:space="preserve"> and more confident in seeking help.</w:t>
      </w:r>
    </w:p>
    <w:p w14:paraId="03CE7D9D" w14:textId="7B83F94B" w:rsidR="00DF6088" w:rsidRPr="00DF6088" w:rsidRDefault="002D6EB6" w:rsidP="00D3336B">
      <w:pPr>
        <w:jc w:val="both"/>
      </w:pPr>
      <w:r>
        <w:t>MOM</w:t>
      </w:r>
      <w:r w:rsidR="00DF6088" w:rsidRPr="00DF6088">
        <w:t xml:space="preserve"> and the Tripartite Alliance will </w:t>
      </w:r>
      <w:r w:rsidR="00DF6088">
        <w:t xml:space="preserve">also </w:t>
      </w:r>
      <w:r w:rsidR="00DF6088" w:rsidRPr="00DF6088">
        <w:t>continue our close collaboration with key stakeholders (e.g. tripartite partners, police and non-</w:t>
      </w:r>
      <w:r w:rsidR="005E6D7B">
        <w:t>G</w:t>
      </w:r>
      <w:r w:rsidR="00DF6088" w:rsidRPr="00DF6088">
        <w:t xml:space="preserve">overnment organisations such as AWARE, Daughters Of Tomorrow, </w:t>
      </w:r>
      <w:proofErr w:type="spellStart"/>
      <w:r w:rsidR="00DF6088" w:rsidRPr="00DF6088">
        <w:t>Mums@Work</w:t>
      </w:r>
      <w:proofErr w:type="spellEnd"/>
      <w:r w:rsidR="00DF6088" w:rsidRPr="00DF6088">
        <w:t xml:space="preserve"> Singapore and Singapore Council of Women’s Organisations) to strengthen existing case management and referral partnerships for workplace harassment, as well as provide more specific guidance and training for employers, especially small and medium-sized enterprises, to put in place proper grievance handling processes and workplace harassment policies to help and support affected employees.</w:t>
      </w:r>
    </w:p>
    <w:p w14:paraId="7999011C" w14:textId="77777777" w:rsidR="0042368C" w:rsidRDefault="0042368C" w:rsidP="00D3336B">
      <w:pPr>
        <w:spacing w:after="0" w:line="240" w:lineRule="auto"/>
        <w:contextualSpacing/>
        <w:jc w:val="both"/>
        <w:rPr>
          <w:rFonts w:ascii="Calibri" w:eastAsia="Times New Roman" w:hAnsi="Calibri" w:cs="Times New Roman"/>
          <w:b/>
          <w:bCs/>
          <w:lang w:val="en-GB"/>
        </w:rPr>
      </w:pPr>
    </w:p>
    <w:p w14:paraId="230BFBC3" w14:textId="4F3F1701" w:rsidR="001D1584" w:rsidRPr="000D18C2" w:rsidRDefault="001D1584" w:rsidP="0045392A">
      <w:pPr>
        <w:pStyle w:val="ListParagraph"/>
        <w:numPr>
          <w:ilvl w:val="0"/>
          <w:numId w:val="20"/>
        </w:numPr>
        <w:spacing w:after="0" w:line="240" w:lineRule="auto"/>
        <w:jc w:val="both"/>
        <w:rPr>
          <w:rFonts w:ascii="Calibri" w:eastAsia="Times New Roman" w:hAnsi="Calibri" w:cs="Times New Roman"/>
          <w:b/>
          <w:bCs/>
          <w:lang w:val="en-GB"/>
        </w:rPr>
      </w:pPr>
      <w:r w:rsidRPr="000D18C2">
        <w:rPr>
          <w:rFonts w:ascii="Calibri" w:eastAsia="Times New Roman" w:hAnsi="Calibri" w:cs="Times New Roman"/>
          <w:b/>
          <w:bCs/>
          <w:lang w:val="en-GB"/>
        </w:rPr>
        <w:lastRenderedPageBreak/>
        <w:t xml:space="preserve">Eliminating violence against marginalised groups </w:t>
      </w:r>
    </w:p>
    <w:p w14:paraId="6C4C4D56" w14:textId="77777777" w:rsidR="00E648D2" w:rsidRDefault="00E648D2" w:rsidP="00A20703">
      <w:pPr>
        <w:pStyle w:val="ListParagraph"/>
        <w:rPr>
          <w:lang w:eastAsia="en-SG"/>
        </w:rPr>
      </w:pPr>
    </w:p>
    <w:p w14:paraId="29AB2353" w14:textId="5606D441" w:rsidR="008B7E50" w:rsidRPr="000D18C2" w:rsidRDefault="008B7E50" w:rsidP="008B7E50">
      <w:pPr>
        <w:pStyle w:val="ListParagraph"/>
        <w:numPr>
          <w:ilvl w:val="0"/>
          <w:numId w:val="56"/>
        </w:numPr>
        <w:tabs>
          <w:tab w:val="left" w:pos="1414"/>
        </w:tabs>
        <w:spacing w:before="120" w:after="120"/>
        <w:contextualSpacing w:val="0"/>
        <w:rPr>
          <w:rFonts w:cs="Arial"/>
          <w:i/>
          <w:iCs/>
          <w:lang w:eastAsia="en-SG"/>
        </w:rPr>
      </w:pPr>
      <w:r w:rsidRPr="000D18C2">
        <w:rPr>
          <w:rFonts w:cs="Arial"/>
          <w:i/>
          <w:iCs/>
          <w:lang w:eastAsia="en-SG"/>
        </w:rPr>
        <w:t>Legal Protections</w:t>
      </w:r>
      <w:r>
        <w:rPr>
          <w:rFonts w:cs="Arial"/>
          <w:i/>
          <w:iCs/>
          <w:lang w:eastAsia="en-SG"/>
        </w:rPr>
        <w:t xml:space="preserve"> for women with disabilities </w:t>
      </w:r>
      <w:r w:rsidRPr="000D18C2">
        <w:rPr>
          <w:rFonts w:cs="Arial"/>
          <w:i/>
          <w:iCs/>
          <w:lang w:eastAsia="en-SG"/>
        </w:rPr>
        <w:t xml:space="preserve"> </w:t>
      </w:r>
    </w:p>
    <w:p w14:paraId="52F873DD" w14:textId="240D34B1" w:rsidR="00E648D2" w:rsidRPr="008B7E50" w:rsidRDefault="00E648D2" w:rsidP="00C7075F">
      <w:pPr>
        <w:tabs>
          <w:tab w:val="left" w:pos="1414"/>
        </w:tabs>
        <w:spacing w:before="120" w:after="120"/>
        <w:rPr>
          <w:rFonts w:cs="Arial"/>
          <w:lang w:eastAsia="en-SG"/>
        </w:rPr>
      </w:pPr>
      <w:r w:rsidRPr="008B7E50">
        <w:rPr>
          <w:rFonts w:cs="Arial"/>
          <w:lang w:eastAsia="en-SG"/>
        </w:rPr>
        <w:t>In 2020, the amended Penal Code took effect to ensure criminal laws take a robust approach to prevent and combat exploitation, abuse of, and violence against persons with disabilities.</w:t>
      </w:r>
    </w:p>
    <w:p w14:paraId="2081BD7A" w14:textId="1BDBB317" w:rsidR="00E648D2" w:rsidRPr="00B65613" w:rsidRDefault="00E648D2" w:rsidP="00E648D2">
      <w:pPr>
        <w:pStyle w:val="ListParagraph"/>
        <w:numPr>
          <w:ilvl w:val="0"/>
          <w:numId w:val="55"/>
        </w:numPr>
        <w:tabs>
          <w:tab w:val="left" w:pos="1414"/>
        </w:tabs>
        <w:spacing w:before="120" w:after="120" w:line="259" w:lineRule="auto"/>
        <w:contextualSpacing w:val="0"/>
        <w:jc w:val="both"/>
        <w:rPr>
          <w:rFonts w:cs="Arial"/>
          <w:lang w:eastAsia="en-SG"/>
        </w:rPr>
      </w:pPr>
      <w:r w:rsidRPr="4096F4B2">
        <w:rPr>
          <w:rFonts w:cs="Arial"/>
          <w:lang w:eastAsia="en-SG"/>
        </w:rPr>
        <w:t xml:space="preserve">Sections 74A. For certain offences committed against vulnerable persons (i.e. individuals who, by reason of mental or physical infirmity, disability or incapacity, are substantially unable to protect themselves from abuse, neglect, or self-neglect), the court may sentence the offender to enhanced punishments of up to twice the maximum penalties if the offender knew or ought reasonably to have known that the victim was a vulnerable person. </w:t>
      </w:r>
    </w:p>
    <w:p w14:paraId="2C4EC325" w14:textId="77777777" w:rsidR="00E648D2" w:rsidRPr="00B65613" w:rsidRDefault="00E648D2" w:rsidP="00E648D2">
      <w:pPr>
        <w:pStyle w:val="ListParagraph"/>
        <w:numPr>
          <w:ilvl w:val="0"/>
          <w:numId w:val="55"/>
        </w:numPr>
        <w:tabs>
          <w:tab w:val="left" w:pos="1414"/>
        </w:tabs>
        <w:spacing w:before="120" w:after="120" w:line="259" w:lineRule="auto"/>
        <w:contextualSpacing w:val="0"/>
        <w:jc w:val="both"/>
        <w:rPr>
          <w:rFonts w:cs="Arial"/>
          <w:lang w:eastAsia="en-SG"/>
        </w:rPr>
      </w:pPr>
      <w:r w:rsidRPr="4096F4B2">
        <w:rPr>
          <w:rFonts w:cs="Arial"/>
          <w:lang w:eastAsia="en-SG"/>
        </w:rPr>
        <w:t>Sections 304B and 304C criminalise causing the death of a vulnerable person by sustained abuse, and causing or allowing the death of a vulnerable person in the same household.</w:t>
      </w:r>
    </w:p>
    <w:p w14:paraId="64A12367" w14:textId="606E9F5F" w:rsidR="00E648D2" w:rsidRPr="00B65613" w:rsidRDefault="00E648D2" w:rsidP="00E648D2">
      <w:pPr>
        <w:pStyle w:val="ListParagraph"/>
        <w:numPr>
          <w:ilvl w:val="0"/>
          <w:numId w:val="55"/>
        </w:numPr>
        <w:tabs>
          <w:tab w:val="left" w:pos="1414"/>
        </w:tabs>
        <w:spacing w:before="120" w:after="120" w:line="259" w:lineRule="auto"/>
        <w:contextualSpacing w:val="0"/>
        <w:jc w:val="both"/>
        <w:rPr>
          <w:rFonts w:cs="Arial"/>
          <w:lang w:eastAsia="en-SG"/>
        </w:rPr>
      </w:pPr>
      <w:r w:rsidRPr="4096F4B2">
        <w:rPr>
          <w:rFonts w:cs="Arial"/>
          <w:lang w:eastAsia="en-SG"/>
        </w:rPr>
        <w:t xml:space="preserve">Section 335A </w:t>
      </w:r>
      <w:r w:rsidR="00D10C57">
        <w:rPr>
          <w:rFonts w:cs="Arial"/>
          <w:lang w:eastAsia="en-SG"/>
        </w:rPr>
        <w:t>penalises</w:t>
      </w:r>
      <w:r w:rsidRPr="4096F4B2">
        <w:rPr>
          <w:rFonts w:cs="Arial"/>
          <w:lang w:eastAsia="en-SG"/>
        </w:rPr>
        <w:t xml:space="preserve"> persons who </w:t>
      </w:r>
      <w:r w:rsidR="00DA6373">
        <w:rPr>
          <w:rFonts w:cs="Arial"/>
          <w:lang w:eastAsia="en-SG"/>
        </w:rPr>
        <w:t>had</w:t>
      </w:r>
      <w:r w:rsidR="00180D7B">
        <w:rPr>
          <w:rFonts w:cs="Arial"/>
          <w:lang w:eastAsia="en-SG"/>
        </w:rPr>
        <w:t xml:space="preserve"> the custody, charge</w:t>
      </w:r>
      <w:r w:rsidR="00DA6373">
        <w:rPr>
          <w:rFonts w:cs="Arial"/>
          <w:lang w:eastAsia="en-SG"/>
        </w:rPr>
        <w:t>,</w:t>
      </w:r>
      <w:r w:rsidR="00180D7B">
        <w:rPr>
          <w:rFonts w:cs="Arial"/>
          <w:lang w:eastAsia="en-SG"/>
        </w:rPr>
        <w:t xml:space="preserve"> or care of </w:t>
      </w:r>
      <w:r w:rsidR="00934936">
        <w:rPr>
          <w:rFonts w:cs="Arial"/>
          <w:lang w:eastAsia="en-SG"/>
        </w:rPr>
        <w:t>vulnerable</w:t>
      </w:r>
      <w:r w:rsidR="00180D7B">
        <w:rPr>
          <w:rFonts w:cs="Arial"/>
          <w:lang w:eastAsia="en-SG"/>
        </w:rPr>
        <w:t xml:space="preserve"> persons</w:t>
      </w:r>
      <w:r w:rsidRPr="4096F4B2">
        <w:rPr>
          <w:rFonts w:cs="Arial"/>
          <w:lang w:eastAsia="en-SG"/>
        </w:rPr>
        <w:t xml:space="preserve"> </w:t>
      </w:r>
      <w:r w:rsidR="00DA6373">
        <w:rPr>
          <w:rFonts w:cs="Arial"/>
          <w:lang w:eastAsia="en-SG"/>
        </w:rPr>
        <w:t>and</w:t>
      </w:r>
      <w:r w:rsidRPr="4096F4B2">
        <w:rPr>
          <w:rFonts w:cs="Arial"/>
          <w:lang w:eastAsia="en-SG"/>
        </w:rPr>
        <w:t xml:space="preserve"> fail</w:t>
      </w:r>
      <w:r w:rsidR="00D10C57">
        <w:rPr>
          <w:rFonts w:cs="Arial"/>
          <w:lang w:eastAsia="en-SG"/>
        </w:rPr>
        <w:t>ed</w:t>
      </w:r>
      <w:r w:rsidRPr="4096F4B2">
        <w:rPr>
          <w:rFonts w:cs="Arial"/>
          <w:lang w:eastAsia="en-SG"/>
        </w:rPr>
        <w:t xml:space="preserve"> to take reasonable steps to protect them from neglect, or physical or sexual abuse</w:t>
      </w:r>
      <w:r>
        <w:rPr>
          <w:rFonts w:cs="Arial"/>
          <w:lang w:eastAsia="en-SG"/>
        </w:rPr>
        <w:t>.</w:t>
      </w:r>
    </w:p>
    <w:p w14:paraId="3CA59D75" w14:textId="14D812C4" w:rsidR="00E648D2" w:rsidRPr="00552063" w:rsidRDefault="00E648D2" w:rsidP="000D18C2">
      <w:pPr>
        <w:pStyle w:val="ListParagraph"/>
        <w:numPr>
          <w:ilvl w:val="0"/>
          <w:numId w:val="55"/>
        </w:numPr>
        <w:rPr>
          <w:lang w:eastAsia="en-SG"/>
        </w:rPr>
      </w:pPr>
      <w:r w:rsidRPr="4096F4B2">
        <w:rPr>
          <w:rFonts w:cs="Arial"/>
          <w:lang w:eastAsia="en-SG"/>
        </w:rPr>
        <w:t>Section 376F criminalises the procurement of sexual activity with a person with mental disability</w:t>
      </w:r>
      <w:r>
        <w:rPr>
          <w:rFonts w:cs="Arial"/>
          <w:lang w:eastAsia="en-SG"/>
        </w:rPr>
        <w:t>.</w:t>
      </w:r>
    </w:p>
    <w:p w14:paraId="26FEB15D" w14:textId="77777777" w:rsidR="00552063" w:rsidRDefault="00552063" w:rsidP="00552063">
      <w:pPr>
        <w:pStyle w:val="ListParagraph"/>
        <w:ind w:left="1080"/>
        <w:rPr>
          <w:lang w:eastAsia="en-SG"/>
        </w:rPr>
      </w:pPr>
    </w:p>
    <w:p w14:paraId="6E5535E8" w14:textId="1F9D81A0" w:rsidR="006E0081" w:rsidRDefault="006E0081" w:rsidP="006E0081">
      <w:pPr>
        <w:pStyle w:val="ListParagraph"/>
        <w:numPr>
          <w:ilvl w:val="0"/>
          <w:numId w:val="56"/>
        </w:numPr>
        <w:rPr>
          <w:i/>
          <w:iCs/>
          <w:lang w:eastAsia="en-SG"/>
        </w:rPr>
      </w:pPr>
      <w:r w:rsidRPr="000D18C2">
        <w:rPr>
          <w:i/>
          <w:iCs/>
          <w:lang w:eastAsia="en-SG"/>
        </w:rPr>
        <w:t>Education of persons with disabilities to protect them from violence</w:t>
      </w:r>
    </w:p>
    <w:p w14:paraId="52C034B1" w14:textId="77777777" w:rsidR="006E0081" w:rsidRPr="000D18C2" w:rsidRDefault="006E0081" w:rsidP="000D18C2">
      <w:pPr>
        <w:pStyle w:val="ListParagraph"/>
        <w:ind w:left="1440"/>
        <w:rPr>
          <w:i/>
          <w:iCs/>
          <w:lang w:eastAsia="en-SG"/>
        </w:rPr>
      </w:pPr>
    </w:p>
    <w:p w14:paraId="388A5A2A" w14:textId="08FB6EE8" w:rsidR="00552063" w:rsidRPr="00552063" w:rsidRDefault="00A20703" w:rsidP="00001C24">
      <w:pPr>
        <w:pStyle w:val="ListParagraph"/>
        <w:ind w:left="0"/>
        <w:jc w:val="both"/>
        <w:rPr>
          <w:lang w:eastAsia="en-SG"/>
        </w:rPr>
      </w:pPr>
      <w:r w:rsidRPr="00A20703">
        <w:rPr>
          <w:lang w:eastAsia="en-SG"/>
        </w:rPr>
        <w:t xml:space="preserve">The special education schools </w:t>
      </w:r>
      <w:r w:rsidR="00AF3ECC">
        <w:rPr>
          <w:lang w:eastAsia="en-SG"/>
        </w:rPr>
        <w:t xml:space="preserve">deliver a </w:t>
      </w:r>
      <w:r w:rsidRPr="00A20703">
        <w:rPr>
          <w:lang w:eastAsia="en-SG"/>
        </w:rPr>
        <w:t>customise</w:t>
      </w:r>
      <w:r w:rsidR="00AF3ECC">
        <w:rPr>
          <w:lang w:eastAsia="en-SG"/>
        </w:rPr>
        <w:t>d</w:t>
      </w:r>
      <w:r w:rsidRPr="00A20703">
        <w:rPr>
          <w:lang w:eastAsia="en-SG"/>
        </w:rPr>
        <w:t xml:space="preserve"> curriculum </w:t>
      </w:r>
      <w:r w:rsidR="00146242">
        <w:rPr>
          <w:lang w:eastAsia="en-SG"/>
        </w:rPr>
        <w:t xml:space="preserve">for students with disabilities </w:t>
      </w:r>
      <w:r w:rsidR="001821EB">
        <w:rPr>
          <w:lang w:eastAsia="en-SG"/>
        </w:rPr>
        <w:t xml:space="preserve">who have higher support needs. </w:t>
      </w:r>
      <w:r w:rsidR="00781BE6">
        <w:rPr>
          <w:lang w:eastAsia="en-SG"/>
        </w:rPr>
        <w:t xml:space="preserve">These schools place a strong emphasis </w:t>
      </w:r>
      <w:r w:rsidR="00AA3853">
        <w:rPr>
          <w:lang w:eastAsia="en-SG"/>
        </w:rPr>
        <w:t xml:space="preserve">on life skills </w:t>
      </w:r>
      <w:r w:rsidR="00F6676A">
        <w:rPr>
          <w:lang w:eastAsia="en-SG"/>
        </w:rPr>
        <w:t xml:space="preserve">(e.g. </w:t>
      </w:r>
      <w:r w:rsidR="00E5075E">
        <w:rPr>
          <w:lang w:eastAsia="en-SG"/>
        </w:rPr>
        <w:t xml:space="preserve">communication, social-emotional), </w:t>
      </w:r>
      <w:r w:rsidR="00E45C14">
        <w:rPr>
          <w:lang w:eastAsia="en-SG"/>
        </w:rPr>
        <w:t xml:space="preserve">healthy relationships </w:t>
      </w:r>
      <w:r w:rsidR="006E6E3D">
        <w:rPr>
          <w:lang w:eastAsia="en-SG"/>
        </w:rPr>
        <w:t xml:space="preserve">and </w:t>
      </w:r>
      <w:r w:rsidRPr="00A20703">
        <w:rPr>
          <w:lang w:eastAsia="en-SG"/>
        </w:rPr>
        <w:t xml:space="preserve">sexuality </w:t>
      </w:r>
      <w:r w:rsidR="00F136E4">
        <w:rPr>
          <w:lang w:eastAsia="en-SG"/>
        </w:rPr>
        <w:t xml:space="preserve">and </w:t>
      </w:r>
      <w:r w:rsidRPr="00A20703">
        <w:rPr>
          <w:lang w:eastAsia="en-SG"/>
        </w:rPr>
        <w:t xml:space="preserve">personal safety. We are working with schools to strengthen </w:t>
      </w:r>
      <w:r w:rsidR="00F136E4">
        <w:rPr>
          <w:lang w:eastAsia="en-SG"/>
        </w:rPr>
        <w:t xml:space="preserve">curriculum delivery </w:t>
      </w:r>
      <w:r w:rsidR="00E97C2C">
        <w:rPr>
          <w:lang w:eastAsia="en-SG"/>
        </w:rPr>
        <w:t xml:space="preserve">through Teaching and Learning Syllabuses that have been co-developed by the </w:t>
      </w:r>
      <w:r w:rsidR="00ED1FC9">
        <w:rPr>
          <w:lang w:eastAsia="en-SG"/>
        </w:rPr>
        <w:t>MOE and key stakeholders</w:t>
      </w:r>
      <w:r w:rsidRPr="00A20703">
        <w:rPr>
          <w:lang w:eastAsia="en-SG"/>
        </w:rPr>
        <w:t>.</w:t>
      </w:r>
      <w:r w:rsidR="00D33684">
        <w:rPr>
          <w:lang w:eastAsia="en-SG"/>
        </w:rPr>
        <w:t xml:space="preserve"> </w:t>
      </w:r>
      <w:r w:rsidRPr="00A20703">
        <w:rPr>
          <w:lang w:eastAsia="en-SG"/>
        </w:rPr>
        <w:t xml:space="preserve">Some homes for persons with disabilities may try and tailor initiatives to raise awareness of how their residents can protect themselves from abuse and violence, based on the profile of residents. For residents who are able to comprehend such instruction, homes would attempt to educate them, e.g. using pictorial illustrations. </w:t>
      </w:r>
    </w:p>
    <w:p w14:paraId="6914BD08" w14:textId="77777777" w:rsidR="00001C24" w:rsidRPr="00552063" w:rsidRDefault="00001C24" w:rsidP="00001C24">
      <w:pPr>
        <w:pStyle w:val="ListParagraph"/>
        <w:ind w:left="0"/>
        <w:jc w:val="both"/>
        <w:rPr>
          <w:lang w:eastAsia="en-SG"/>
        </w:rPr>
      </w:pPr>
    </w:p>
    <w:p w14:paraId="0F79A007" w14:textId="7D9D9A5C" w:rsidR="00DE4B28" w:rsidRPr="00EA3279" w:rsidRDefault="00DE4B28" w:rsidP="0045392A">
      <w:pPr>
        <w:pStyle w:val="ListParagraph"/>
        <w:numPr>
          <w:ilvl w:val="0"/>
          <w:numId w:val="20"/>
        </w:numPr>
        <w:rPr>
          <w:b/>
          <w:bCs/>
          <w:lang w:val="en-GB"/>
        </w:rPr>
      </w:pPr>
      <w:r w:rsidRPr="00EA3279">
        <w:rPr>
          <w:b/>
          <w:bCs/>
          <w:lang w:val="en-GB"/>
        </w:rPr>
        <w:t>Measures to resource organisations working to prevent and respond to GBV</w:t>
      </w:r>
    </w:p>
    <w:p w14:paraId="4147D783" w14:textId="77777777" w:rsidR="00B20EB2" w:rsidRDefault="00B20EB2" w:rsidP="00C7075F">
      <w:pPr>
        <w:pStyle w:val="ListParagraph"/>
        <w:autoSpaceDE w:val="0"/>
        <w:autoSpaceDN w:val="0"/>
        <w:adjustRightInd w:val="0"/>
        <w:spacing w:after="0" w:line="240" w:lineRule="auto"/>
        <w:ind w:left="0"/>
        <w:jc w:val="both"/>
        <w:rPr>
          <w:rFonts w:cs="Calibri"/>
          <w:color w:val="000000" w:themeColor="text1"/>
        </w:rPr>
      </w:pPr>
    </w:p>
    <w:p w14:paraId="701B8957" w14:textId="16BBE4DE" w:rsidR="00812E96" w:rsidRPr="00EB5DD2" w:rsidRDefault="00812E96" w:rsidP="00C7075F">
      <w:pPr>
        <w:pStyle w:val="ListParagraph"/>
        <w:autoSpaceDE w:val="0"/>
        <w:autoSpaceDN w:val="0"/>
        <w:adjustRightInd w:val="0"/>
        <w:spacing w:after="0" w:line="240" w:lineRule="auto"/>
        <w:ind w:left="0"/>
        <w:jc w:val="both"/>
        <w:rPr>
          <w:rFonts w:cs="Calibri"/>
        </w:rPr>
      </w:pPr>
      <w:r w:rsidRPr="610F1F57">
        <w:rPr>
          <w:rFonts w:cs="Calibri"/>
          <w:color w:val="000000" w:themeColor="text1"/>
        </w:rPr>
        <w:t xml:space="preserve">MSF works with the Protection Specialist Centres to </w:t>
      </w:r>
      <w:r w:rsidR="00C97553" w:rsidRPr="008B763E">
        <w:rPr>
          <w:rFonts w:cs="Arial"/>
        </w:rPr>
        <w:t>provid</w:t>
      </w:r>
      <w:r w:rsidR="00C97553">
        <w:rPr>
          <w:rFonts w:cs="Arial"/>
        </w:rPr>
        <w:t>e</w:t>
      </w:r>
      <w:r w:rsidR="00C97553" w:rsidRPr="008B763E">
        <w:rPr>
          <w:rFonts w:cs="Arial"/>
        </w:rPr>
        <w:t xml:space="preserve"> counsel and support to </w:t>
      </w:r>
      <w:r w:rsidR="00C97553">
        <w:rPr>
          <w:rFonts w:cs="Arial"/>
        </w:rPr>
        <w:t>victim-</w:t>
      </w:r>
      <w:r w:rsidR="00C97553" w:rsidRPr="008B763E">
        <w:rPr>
          <w:rFonts w:cs="Arial"/>
        </w:rPr>
        <w:t>survivors of violence and their families</w:t>
      </w:r>
      <w:r w:rsidR="00FC381D">
        <w:rPr>
          <w:rFonts w:cs="Arial"/>
        </w:rPr>
        <w:t>,</w:t>
      </w:r>
      <w:r w:rsidR="005674D0">
        <w:rPr>
          <w:rFonts w:cs="Arial"/>
        </w:rPr>
        <w:t xml:space="preserve"> </w:t>
      </w:r>
      <w:r w:rsidR="00EF54FD">
        <w:rPr>
          <w:rFonts w:cs="Arial"/>
        </w:rPr>
        <w:t>and</w:t>
      </w:r>
      <w:r w:rsidRPr="3F1DF990">
        <w:rPr>
          <w:rFonts w:cs="Calibri"/>
          <w:color w:val="000000" w:themeColor="text1"/>
        </w:rPr>
        <w:t xml:space="preserve"> </w:t>
      </w:r>
      <w:r w:rsidRPr="610F1F57">
        <w:rPr>
          <w:rFonts w:cs="Calibri"/>
          <w:color w:val="000000" w:themeColor="text1"/>
        </w:rPr>
        <w:t xml:space="preserve">refer female survivors of </w:t>
      </w:r>
      <w:r w:rsidR="00EA73D0">
        <w:rPr>
          <w:rFonts w:cs="Calibri"/>
          <w:color w:val="000000" w:themeColor="text1"/>
        </w:rPr>
        <w:t xml:space="preserve">domestic </w:t>
      </w:r>
      <w:r w:rsidRPr="610F1F57">
        <w:rPr>
          <w:rFonts w:cs="Calibri"/>
          <w:color w:val="000000" w:themeColor="text1"/>
        </w:rPr>
        <w:t xml:space="preserve">violence </w:t>
      </w:r>
      <w:r w:rsidR="00EA73D0">
        <w:rPr>
          <w:rFonts w:cs="Calibri"/>
          <w:color w:val="000000" w:themeColor="text1"/>
        </w:rPr>
        <w:t>(</w:t>
      </w:r>
      <w:r w:rsidRPr="610F1F57">
        <w:rPr>
          <w:rFonts w:cs="Calibri"/>
          <w:color w:val="000000" w:themeColor="text1"/>
        </w:rPr>
        <w:t>and their children</w:t>
      </w:r>
      <w:r w:rsidR="00EA73D0">
        <w:rPr>
          <w:rFonts w:cs="Calibri"/>
          <w:color w:val="000000" w:themeColor="text1"/>
        </w:rPr>
        <w:t>)</w:t>
      </w:r>
      <w:r w:rsidR="00544702">
        <w:rPr>
          <w:rFonts w:cs="Calibri"/>
          <w:color w:val="000000" w:themeColor="text1"/>
        </w:rPr>
        <w:t xml:space="preserve"> </w:t>
      </w:r>
      <w:r w:rsidRPr="610F1F57">
        <w:rPr>
          <w:rFonts w:cs="Calibri"/>
          <w:color w:val="000000" w:themeColor="text1"/>
        </w:rPr>
        <w:t xml:space="preserve">to </w:t>
      </w:r>
      <w:r w:rsidR="00F90A2F">
        <w:rPr>
          <w:rFonts w:cs="Calibri"/>
          <w:color w:val="000000" w:themeColor="text1"/>
        </w:rPr>
        <w:t>MSF-funded</w:t>
      </w:r>
      <w:r w:rsidRPr="610F1F57">
        <w:rPr>
          <w:rFonts w:cs="Calibri"/>
          <w:color w:val="000000" w:themeColor="text1"/>
        </w:rPr>
        <w:t xml:space="preserve"> Crisis Shelters, in situations where there is no safe and suitable alternative accommodation option.</w:t>
      </w:r>
    </w:p>
    <w:p w14:paraId="6811D619" w14:textId="77777777" w:rsidR="00812E96" w:rsidRDefault="00812E96" w:rsidP="00C7075F">
      <w:pPr>
        <w:pStyle w:val="ListParagraph"/>
        <w:autoSpaceDE w:val="0"/>
        <w:autoSpaceDN w:val="0"/>
        <w:adjustRightInd w:val="0"/>
        <w:spacing w:after="0" w:line="240" w:lineRule="auto"/>
        <w:ind w:left="0"/>
        <w:jc w:val="both"/>
        <w:rPr>
          <w:rFonts w:cs="Calibri"/>
        </w:rPr>
      </w:pPr>
    </w:p>
    <w:p w14:paraId="6B70D2C7" w14:textId="1A1EED31" w:rsidR="00812E96" w:rsidRPr="00EB5DD2" w:rsidRDefault="00812E96" w:rsidP="00C7075F">
      <w:pPr>
        <w:pStyle w:val="ListParagraph"/>
        <w:autoSpaceDE w:val="0"/>
        <w:autoSpaceDN w:val="0"/>
        <w:adjustRightInd w:val="0"/>
        <w:spacing w:after="0" w:line="240" w:lineRule="auto"/>
        <w:ind w:left="0"/>
        <w:jc w:val="both"/>
        <w:rPr>
          <w:rFonts w:cs="Calibri"/>
        </w:rPr>
      </w:pPr>
      <w:r>
        <w:rPr>
          <w:rFonts w:cs="Calibri"/>
        </w:rPr>
        <w:t>At these shelters, the social service professionals work with the residents to address their safety, financial or emotional concerns, and also assist them in securing longer-term and stable housing arrangements. There is no cap on the length of stay at these shelters.</w:t>
      </w:r>
      <w:r w:rsidR="000D63AD">
        <w:rPr>
          <w:rFonts w:cs="Calibri"/>
        </w:rPr>
        <w:t xml:space="preserve"> </w:t>
      </w:r>
    </w:p>
    <w:p w14:paraId="0F55D1F9" w14:textId="77777777" w:rsidR="000239B4" w:rsidRDefault="000239B4" w:rsidP="00115D12"/>
    <w:p w14:paraId="75DD8539" w14:textId="40078ED1" w:rsidR="007D0791" w:rsidRPr="001B2697" w:rsidRDefault="009562C5" w:rsidP="001B2697">
      <w:pPr>
        <w:pStyle w:val="Heading3"/>
        <w:rPr>
          <w:b/>
          <w:bCs/>
          <w:u w:val="single"/>
          <w:lang w:val="en-GB"/>
        </w:rPr>
      </w:pPr>
      <w:bookmarkStart w:id="25" w:name="_Toc169709886"/>
      <w:r>
        <w:rPr>
          <w:b/>
          <w:bCs/>
          <w:lang w:val="en-GB"/>
        </w:rPr>
        <w:t>B.</w:t>
      </w:r>
      <w:r>
        <w:rPr>
          <w:b/>
          <w:bCs/>
          <w:lang w:val="en-GB"/>
        </w:rPr>
        <w:tab/>
      </w:r>
      <w:r w:rsidR="007D0791" w:rsidRPr="000E11AA">
        <w:rPr>
          <w:b/>
          <w:bCs/>
          <w:u w:val="single"/>
          <w:lang w:val="en-GB"/>
        </w:rPr>
        <w:t>Technology-</w:t>
      </w:r>
      <w:r w:rsidR="0011048E">
        <w:rPr>
          <w:b/>
          <w:bCs/>
          <w:u w:val="single"/>
          <w:lang w:val="en-GB"/>
        </w:rPr>
        <w:t>F</w:t>
      </w:r>
      <w:r w:rsidR="007D0791" w:rsidRPr="000E11AA">
        <w:rPr>
          <w:b/>
          <w:bCs/>
          <w:u w:val="single"/>
          <w:lang w:val="en-GB"/>
        </w:rPr>
        <w:t xml:space="preserve">acilitated </w:t>
      </w:r>
      <w:r w:rsidR="0011048E">
        <w:rPr>
          <w:b/>
          <w:bCs/>
          <w:u w:val="single"/>
          <w:lang w:val="en-GB"/>
        </w:rPr>
        <w:t>V</w:t>
      </w:r>
      <w:r w:rsidR="007D0791" w:rsidRPr="000E11AA">
        <w:rPr>
          <w:b/>
          <w:bCs/>
          <w:u w:val="single"/>
          <w:lang w:val="en-GB"/>
        </w:rPr>
        <w:t>iolence</w:t>
      </w:r>
      <w:bookmarkEnd w:id="25"/>
      <w:r w:rsidR="007D0791" w:rsidRPr="001B2697">
        <w:rPr>
          <w:b/>
          <w:bCs/>
          <w:u w:val="single"/>
          <w:lang w:val="en-GB"/>
        </w:rPr>
        <w:t xml:space="preserve"> </w:t>
      </w:r>
    </w:p>
    <w:p w14:paraId="2B878129" w14:textId="0872D85E" w:rsidR="0010200E" w:rsidRDefault="0010200E" w:rsidP="00552063">
      <w:pPr>
        <w:jc w:val="both"/>
      </w:pPr>
      <w:r>
        <w:br/>
      </w:r>
      <w:r w:rsidRPr="0010200E">
        <w:t xml:space="preserve">The online space has transformed our lives, bringing new opportunities for people and businesses. However, it is also increasingly being exploited by criminals. For example, in Singapore, we have had to </w:t>
      </w:r>
      <w:r w:rsidRPr="0010200E">
        <w:lastRenderedPageBreak/>
        <w:t xml:space="preserve">deal with cases such as the dissemination of voyeuristic and intimate images on a variety of online platforms. The online space poses higher risks due to the anonymity and greater speed with which the malicious spread of voyeuristic and intimate material can happen and cause harm to victims. </w:t>
      </w:r>
    </w:p>
    <w:p w14:paraId="2C6AA573" w14:textId="02CECC62" w:rsidR="00952115" w:rsidRPr="00952115" w:rsidRDefault="00952115" w:rsidP="00552063">
      <w:pPr>
        <w:jc w:val="both"/>
      </w:pPr>
      <w:r w:rsidRPr="005643D3">
        <w:t>A 2023 survey conducted by SG Her Empowerment (SHE), a local civil society organisation, found that female youths were more at risk for online harms of a sexual nature. 22% of female youths reported experiencing sexual harassment online, compared to 12% of male youths.</w:t>
      </w:r>
    </w:p>
    <w:p w14:paraId="60A435D1" w14:textId="311F6D97" w:rsidR="0011048E" w:rsidRDefault="0010200E" w:rsidP="00552063">
      <w:pPr>
        <w:jc w:val="both"/>
      </w:pPr>
      <w:r w:rsidRPr="0010200E">
        <w:t>We have introduced a series of legislative levers against internet intermediaries to slow or stop the malicious spread of such material. We have also imposed higher penalties on offenders who harm vulnerable victims online. With this in mind, we will regularly review and update our laws to ensure that they remain effective in the face of new challenges.</w:t>
      </w:r>
      <w:r>
        <w:t xml:space="preserve"> </w:t>
      </w:r>
    </w:p>
    <w:p w14:paraId="602F9B3D" w14:textId="344FDE81" w:rsidR="000E11AA" w:rsidRPr="00F05C46" w:rsidRDefault="00F05C46" w:rsidP="0045392A">
      <w:pPr>
        <w:pStyle w:val="ListParagraph"/>
        <w:numPr>
          <w:ilvl w:val="0"/>
          <w:numId w:val="24"/>
        </w:numPr>
        <w:rPr>
          <w:b/>
          <w:bCs/>
        </w:rPr>
      </w:pPr>
      <w:r w:rsidRPr="00F05C46">
        <w:rPr>
          <w:b/>
          <w:bCs/>
        </w:rPr>
        <w:t>Legislation</w:t>
      </w:r>
    </w:p>
    <w:p w14:paraId="004C1526" w14:textId="0F2039D6" w:rsidR="00E14E2D" w:rsidRDefault="00E14E2D" w:rsidP="00E14E2D">
      <w:r w:rsidRPr="00E14E2D">
        <w:t>The Government recognises the growing concerns on online harms and has introduced and amended laws to deal with such harms.</w:t>
      </w:r>
      <w:r>
        <w:t xml:space="preserve"> </w:t>
      </w:r>
      <w:r w:rsidRPr="00E14E2D">
        <w:t>To improve the protection of vulnerable victims, we have amended our criminal laws to reflect developments in technology-related crimes, with particular attention paid to sexual offences.</w:t>
      </w:r>
    </w:p>
    <w:p w14:paraId="0CE54885" w14:textId="1554F484" w:rsidR="006610CA" w:rsidRPr="00F05C46" w:rsidRDefault="00F71CBE" w:rsidP="0045392A">
      <w:pPr>
        <w:pStyle w:val="ListParagraph"/>
        <w:numPr>
          <w:ilvl w:val="0"/>
          <w:numId w:val="25"/>
        </w:numPr>
        <w:rPr>
          <w:i/>
          <w:iCs/>
        </w:rPr>
      </w:pPr>
      <w:r>
        <w:rPr>
          <w:i/>
          <w:iCs/>
        </w:rPr>
        <w:t xml:space="preserve">Amendments to </w:t>
      </w:r>
      <w:r w:rsidR="006610CA" w:rsidRPr="00F05C46">
        <w:rPr>
          <w:i/>
          <w:iCs/>
        </w:rPr>
        <w:t>Penal Code</w:t>
      </w:r>
    </w:p>
    <w:p w14:paraId="0FF0997C" w14:textId="136460E1" w:rsidR="001F4440" w:rsidRDefault="001F4440" w:rsidP="00300511">
      <w:r w:rsidRPr="001F4440">
        <w:t>Singapore amended the Penal Code in 2019 to better tackle technology-facilitated crimes:</w:t>
      </w:r>
    </w:p>
    <w:p w14:paraId="6E7C8688" w14:textId="7377B3EB" w:rsidR="008B621E" w:rsidRPr="008B621E" w:rsidRDefault="008B621E" w:rsidP="0045392A">
      <w:pPr>
        <w:pStyle w:val="ListParagraph"/>
        <w:numPr>
          <w:ilvl w:val="0"/>
          <w:numId w:val="11"/>
        </w:numPr>
        <w:spacing w:line="259" w:lineRule="auto"/>
        <w:ind w:left="360"/>
        <w:jc w:val="both"/>
        <w:rPr>
          <w:rFonts w:cs="Arial"/>
          <w:color w:val="000000"/>
        </w:rPr>
      </w:pPr>
      <w:r w:rsidRPr="008B621E">
        <w:rPr>
          <w:rFonts w:cs="Arial"/>
          <w:color w:val="000000"/>
        </w:rPr>
        <w:t xml:space="preserve">Child abuse material: We have criminalised the entire spectrum of activities pertaining to child abuse material, from production to distribution and possession of such material (s377BG – s377BL Penal Code). Our legislation expressly </w:t>
      </w:r>
      <w:r w:rsidRPr="008B621E">
        <w:t>provides</w:t>
      </w:r>
      <w:r w:rsidRPr="008B621E">
        <w:rPr>
          <w:rFonts w:cs="Arial"/>
          <w:color w:val="000000"/>
        </w:rPr>
        <w:t xml:space="preserve"> that child abuse material includes digital materials and </w:t>
      </w:r>
      <w:r w:rsidR="00E74251">
        <w:rPr>
          <w:rFonts w:cs="Arial"/>
          <w:color w:val="000000"/>
        </w:rPr>
        <w:t>covers</w:t>
      </w:r>
      <w:r w:rsidRPr="008B621E">
        <w:rPr>
          <w:rFonts w:cs="Arial"/>
          <w:color w:val="000000"/>
        </w:rPr>
        <w:t xml:space="preserve"> offences committed through the use of technology and the Internet. Furthermore, the Penal Code amendments also ensure that Singapore citizens or permanent residents who </w:t>
      </w:r>
      <w:r w:rsidR="00E74251">
        <w:rPr>
          <w:rFonts w:cs="Arial"/>
          <w:color w:val="000000"/>
        </w:rPr>
        <w:t>commit</w:t>
      </w:r>
      <w:r w:rsidRPr="008B621E">
        <w:rPr>
          <w:rFonts w:cs="Arial"/>
          <w:color w:val="000000"/>
        </w:rPr>
        <w:t xml:space="preserve"> acts overseas cannot escape criminal liability. </w:t>
      </w:r>
    </w:p>
    <w:p w14:paraId="3A420A84" w14:textId="77777777" w:rsidR="008B621E" w:rsidRPr="008B621E" w:rsidRDefault="008B621E" w:rsidP="008B621E">
      <w:pPr>
        <w:pStyle w:val="ListParagraph"/>
        <w:ind w:left="0"/>
        <w:rPr>
          <w:rFonts w:cs="Arial"/>
          <w:color w:val="000000"/>
        </w:rPr>
      </w:pPr>
    </w:p>
    <w:p w14:paraId="129A2E37" w14:textId="5E8BA974" w:rsidR="008B621E" w:rsidRPr="008B621E" w:rsidRDefault="008B621E" w:rsidP="0045392A">
      <w:pPr>
        <w:pStyle w:val="ListParagraph"/>
        <w:numPr>
          <w:ilvl w:val="0"/>
          <w:numId w:val="11"/>
        </w:numPr>
        <w:spacing w:line="259" w:lineRule="auto"/>
        <w:ind w:left="360"/>
        <w:jc w:val="both"/>
        <w:rPr>
          <w:rFonts w:cs="Arial"/>
          <w:color w:val="000000" w:themeColor="text1"/>
        </w:rPr>
      </w:pPr>
      <w:r w:rsidRPr="008B621E">
        <w:rPr>
          <w:rFonts w:cs="Arial"/>
          <w:color w:val="000000" w:themeColor="text1"/>
        </w:rPr>
        <w:t xml:space="preserve">Sexual communication with minors: We have criminalised certain forms of sexual communication with minors (whether below the age of 16, or between 16 and 18 if they are in an exploitative relationship with the offender). Such offences </w:t>
      </w:r>
      <w:r w:rsidRPr="008B621E">
        <w:t>cover</w:t>
      </w:r>
      <w:r w:rsidRPr="008B621E">
        <w:rPr>
          <w:rFonts w:cs="Arial"/>
          <w:color w:val="000000" w:themeColor="text1"/>
        </w:rPr>
        <w:t xml:space="preserve"> communications that take place online, as long as either the victim or the offender was in Singapore at the time of the communication. This takes into account the possibility of offences committed across jurisdictions </w:t>
      </w:r>
      <w:r w:rsidR="00E74251">
        <w:rPr>
          <w:rFonts w:cs="Arial"/>
          <w:color w:val="000000" w:themeColor="text1"/>
        </w:rPr>
        <w:t>via</w:t>
      </w:r>
      <w:r w:rsidRPr="008B621E">
        <w:rPr>
          <w:rFonts w:cs="Arial"/>
          <w:color w:val="000000" w:themeColor="text1"/>
        </w:rPr>
        <w:t xml:space="preserve"> the Internet.</w:t>
      </w:r>
    </w:p>
    <w:p w14:paraId="3FEBB9AA" w14:textId="77777777" w:rsidR="008B621E" w:rsidRPr="008B621E" w:rsidRDefault="008B621E" w:rsidP="008B621E">
      <w:pPr>
        <w:pStyle w:val="ListParagraph"/>
        <w:ind w:left="360"/>
        <w:rPr>
          <w:rFonts w:cs="Arial"/>
          <w:color w:val="000000" w:themeColor="text1"/>
        </w:rPr>
      </w:pPr>
    </w:p>
    <w:p w14:paraId="513E85C0" w14:textId="7D994712" w:rsidR="008B621E" w:rsidRPr="008B621E" w:rsidRDefault="008B621E" w:rsidP="0045392A">
      <w:pPr>
        <w:pStyle w:val="ListParagraph"/>
        <w:numPr>
          <w:ilvl w:val="0"/>
          <w:numId w:val="11"/>
        </w:numPr>
        <w:autoSpaceDE w:val="0"/>
        <w:autoSpaceDN w:val="0"/>
        <w:adjustRightInd w:val="0"/>
        <w:spacing w:after="120" w:line="259" w:lineRule="auto"/>
        <w:ind w:left="360"/>
        <w:jc w:val="both"/>
        <w:rPr>
          <w:rFonts w:cs="Arial"/>
          <w:color w:val="000000" w:themeColor="text1"/>
        </w:rPr>
      </w:pPr>
      <w:r w:rsidRPr="008B621E">
        <w:rPr>
          <w:rFonts w:cs="Arial"/>
          <w:color w:val="000000" w:themeColor="text1"/>
        </w:rPr>
        <w:t xml:space="preserve">Voyeurism: Singapore replaced a more general criminal provision on insulting the modesty of women with purpose-built provisions criminalising various forms of voyeurism. Specific forms of voyeurism include the operation of equipment to observe a victim’s private regions, as well as to record an image of a victim. We have also legislated </w:t>
      </w:r>
      <w:r w:rsidR="00E74251">
        <w:rPr>
          <w:rFonts w:cs="Arial"/>
          <w:color w:val="000000" w:themeColor="text1"/>
        </w:rPr>
        <w:t xml:space="preserve">for </w:t>
      </w:r>
      <w:r w:rsidRPr="008B621E">
        <w:rPr>
          <w:rFonts w:cs="Arial"/>
          <w:color w:val="000000" w:themeColor="text1"/>
        </w:rPr>
        <w:t>harsh</w:t>
      </w:r>
      <w:r w:rsidR="00E74251">
        <w:rPr>
          <w:rFonts w:cs="Arial"/>
          <w:color w:val="000000" w:themeColor="text1"/>
        </w:rPr>
        <w:t>er</w:t>
      </w:r>
      <w:r w:rsidRPr="008B621E">
        <w:rPr>
          <w:rFonts w:cs="Arial"/>
          <w:color w:val="000000" w:themeColor="text1"/>
        </w:rPr>
        <w:t xml:space="preserve"> penalties where voyeuristic images or recordings are distributed, since online distribution can be extremely harmful to victims. </w:t>
      </w:r>
      <w:r w:rsidR="00E74251">
        <w:rPr>
          <w:rFonts w:cs="Arial"/>
          <w:color w:val="000000" w:themeColor="text1"/>
        </w:rPr>
        <w:br/>
      </w:r>
    </w:p>
    <w:p w14:paraId="669DEC2B" w14:textId="76818F53" w:rsidR="008B621E" w:rsidRPr="008B621E" w:rsidRDefault="008B621E" w:rsidP="0045392A">
      <w:pPr>
        <w:pStyle w:val="ListParagraph"/>
        <w:numPr>
          <w:ilvl w:val="0"/>
          <w:numId w:val="11"/>
        </w:numPr>
        <w:spacing w:line="259" w:lineRule="auto"/>
        <w:ind w:left="360"/>
        <w:jc w:val="both"/>
        <w:rPr>
          <w:rFonts w:cs="Arial"/>
          <w:color w:val="000000" w:themeColor="text1"/>
        </w:rPr>
      </w:pPr>
      <w:r w:rsidRPr="008B621E">
        <w:rPr>
          <w:rFonts w:cs="Arial"/>
          <w:color w:val="000000" w:themeColor="text1"/>
        </w:rPr>
        <w:t xml:space="preserve">Intimate images or recordings: The phenomenon of “revenge porn” and other such forms of intimidation has been facilitated by the widespread availability of recording devices and access to the Internet. To counter this phenomenon, Singapore has criminalised both the distribution of and the threat to distribute such intimate images or recordings. </w:t>
      </w:r>
    </w:p>
    <w:p w14:paraId="537A0A28" w14:textId="77777777" w:rsidR="008B621E" w:rsidRPr="008B621E" w:rsidRDefault="008B621E" w:rsidP="008B621E">
      <w:pPr>
        <w:pStyle w:val="ListParagraph"/>
        <w:ind w:left="0"/>
        <w:rPr>
          <w:rFonts w:cs="Arial"/>
          <w:color w:val="000000"/>
        </w:rPr>
      </w:pPr>
    </w:p>
    <w:p w14:paraId="18DF924B" w14:textId="63F170AA" w:rsidR="006610CA" w:rsidRPr="008B621E" w:rsidRDefault="008B621E" w:rsidP="0045392A">
      <w:pPr>
        <w:pStyle w:val="ListParagraph"/>
        <w:numPr>
          <w:ilvl w:val="0"/>
          <w:numId w:val="11"/>
        </w:numPr>
        <w:spacing w:line="259" w:lineRule="auto"/>
        <w:ind w:left="360"/>
        <w:jc w:val="both"/>
        <w:rPr>
          <w:rFonts w:cs="Arial"/>
          <w:color w:val="000000" w:themeColor="text1"/>
        </w:rPr>
      </w:pPr>
      <w:r w:rsidRPr="008B621E">
        <w:rPr>
          <w:rFonts w:cs="Arial"/>
          <w:color w:val="000000" w:themeColor="text1"/>
        </w:rPr>
        <w:lastRenderedPageBreak/>
        <w:t xml:space="preserve">Sexual exposure/cyber-flashing: Singapore has also criminalised the non-consensual exposure of genitals, whether in the physical or virtual space, such as sending unsolicited images of genitals </w:t>
      </w:r>
      <w:r w:rsidR="00E74251">
        <w:rPr>
          <w:rFonts w:cs="Arial"/>
          <w:color w:val="000000" w:themeColor="text1"/>
        </w:rPr>
        <w:t>via</w:t>
      </w:r>
      <w:r w:rsidRPr="008B621E">
        <w:rPr>
          <w:rFonts w:cs="Arial"/>
          <w:color w:val="000000" w:themeColor="text1"/>
        </w:rPr>
        <w:t xml:space="preserve"> an electronic medium to another person (also referred to as “cyber-flashing</w:t>
      </w:r>
      <w:r w:rsidR="00A34BBA">
        <w:rPr>
          <w:rFonts w:cs="Arial"/>
          <w:color w:val="000000" w:themeColor="text1"/>
        </w:rPr>
        <w:t>”</w:t>
      </w:r>
      <w:r w:rsidRPr="008B621E">
        <w:rPr>
          <w:rFonts w:cs="Arial"/>
          <w:color w:val="000000" w:themeColor="text1"/>
        </w:rPr>
        <w:t>)</w:t>
      </w:r>
      <w:r w:rsidR="00E74251">
        <w:rPr>
          <w:rFonts w:cs="Arial"/>
          <w:color w:val="000000" w:themeColor="text1"/>
        </w:rPr>
        <w:t>.</w:t>
      </w:r>
    </w:p>
    <w:p w14:paraId="5830342D" w14:textId="5E5EB7FD" w:rsidR="00690020" w:rsidRPr="002C5213" w:rsidRDefault="00690020" w:rsidP="00D1556C">
      <w:pPr>
        <w:jc w:val="both"/>
        <w:rPr>
          <w:rFonts w:cs="Arial"/>
        </w:rPr>
      </w:pPr>
      <w:r>
        <w:rPr>
          <w:rFonts w:cs="Times New Roman"/>
          <w:color w:val="000000"/>
          <w:szCs w:val="26"/>
        </w:rPr>
        <w:t xml:space="preserve">Further amendments were made to the Penal Code in 2021 to increase the penalties </w:t>
      </w:r>
      <w:r w:rsidR="00A36B05">
        <w:rPr>
          <w:rFonts w:cs="Times New Roman"/>
          <w:color w:val="000000"/>
          <w:szCs w:val="26"/>
        </w:rPr>
        <w:t xml:space="preserve">for </w:t>
      </w:r>
      <w:r w:rsidR="009D4285">
        <w:rPr>
          <w:rFonts w:cs="Times New Roman"/>
          <w:color w:val="000000"/>
          <w:szCs w:val="26"/>
        </w:rPr>
        <w:t>certain technology-facilitated crimes against minors</w:t>
      </w:r>
      <w:r w:rsidR="009147E3">
        <w:rPr>
          <w:rFonts w:cs="Times New Roman"/>
          <w:color w:val="000000"/>
          <w:szCs w:val="26"/>
        </w:rPr>
        <w:t xml:space="preserve">. </w:t>
      </w:r>
      <w:r>
        <w:rPr>
          <w:rFonts w:cs="Arial"/>
        </w:rPr>
        <w:t>The maximum imprisonment term for e</w:t>
      </w:r>
      <w:r w:rsidRPr="00A34FAB">
        <w:rPr>
          <w:rFonts w:cs="Arial"/>
        </w:rPr>
        <w:t xml:space="preserve">ngaging in sexual activity in the presence of a minor or causing a minor to view a sexual image (where the minor is below 16 years of age, or between 16 and 18 years of age and in an exploitative relationship with the offender) </w:t>
      </w:r>
      <w:r>
        <w:rPr>
          <w:rFonts w:cs="Arial"/>
        </w:rPr>
        <w:t>was increased</w:t>
      </w:r>
      <w:r w:rsidRPr="00A34FAB">
        <w:rPr>
          <w:rFonts w:cs="Arial"/>
        </w:rPr>
        <w:t xml:space="preserve"> from </w:t>
      </w:r>
      <w:r>
        <w:rPr>
          <w:rFonts w:cs="Arial"/>
        </w:rPr>
        <w:t>one to two years.</w:t>
      </w:r>
    </w:p>
    <w:p w14:paraId="7CD812A0" w14:textId="329271D4" w:rsidR="001F4440" w:rsidRDefault="00D1556C" w:rsidP="002C5213">
      <w:pPr>
        <w:jc w:val="both"/>
      </w:pPr>
      <w:r>
        <w:rPr>
          <w:rFonts w:cs="Times New Roman"/>
          <w:color w:val="000000"/>
          <w:szCs w:val="26"/>
        </w:rPr>
        <w:t xml:space="preserve">We have scoped our laws to provide protection even in cases involving emerging technologies like “deepfakes” facilitated by artificial intelligence. For example, our offences relating to intimate images were drafted to cover images that have been </w:t>
      </w:r>
      <w:r>
        <w:rPr>
          <w:rFonts w:cs="Times New Roman"/>
          <w:i/>
          <w:iCs/>
          <w:color w:val="000000"/>
          <w:szCs w:val="26"/>
        </w:rPr>
        <w:t>altered</w:t>
      </w:r>
      <w:r>
        <w:rPr>
          <w:rFonts w:cs="Times New Roman"/>
          <w:color w:val="000000"/>
          <w:szCs w:val="26"/>
        </w:rPr>
        <w:t xml:space="preserve"> to depict a victim, such as when an offender transplants a victim’s face onto an image of someone else engaging in a sexual act</w:t>
      </w:r>
      <w:r w:rsidR="001A1DD2">
        <w:rPr>
          <w:rFonts w:cs="Times New Roman"/>
          <w:color w:val="000000"/>
          <w:szCs w:val="26"/>
        </w:rPr>
        <w:t>.</w:t>
      </w:r>
    </w:p>
    <w:p w14:paraId="55CDF2A3" w14:textId="6C950563" w:rsidR="001F4440" w:rsidRPr="00F05C46" w:rsidRDefault="00AC5A1D" w:rsidP="0045392A">
      <w:pPr>
        <w:pStyle w:val="ListParagraph"/>
        <w:numPr>
          <w:ilvl w:val="0"/>
          <w:numId w:val="25"/>
        </w:numPr>
        <w:rPr>
          <w:i/>
          <w:iCs/>
        </w:rPr>
      </w:pPr>
      <w:r w:rsidRPr="00F05C46">
        <w:rPr>
          <w:i/>
          <w:iCs/>
        </w:rPr>
        <w:t xml:space="preserve">Amendments to </w:t>
      </w:r>
      <w:r w:rsidR="001F4440" w:rsidRPr="00F05C46">
        <w:rPr>
          <w:i/>
          <w:iCs/>
        </w:rPr>
        <w:t>POHA</w:t>
      </w:r>
    </w:p>
    <w:p w14:paraId="093E2199" w14:textId="1E320FB4" w:rsidR="005D3D03" w:rsidRDefault="005D3D03" w:rsidP="00E911EA">
      <w:pPr>
        <w:jc w:val="both"/>
      </w:pPr>
      <w:r w:rsidRPr="005D3D03">
        <w:t xml:space="preserve">POHA </w:t>
      </w:r>
      <w:r w:rsidR="485C08EE">
        <w:t>protects victims from</w:t>
      </w:r>
      <w:r>
        <w:t xml:space="preserve"> </w:t>
      </w:r>
      <w:r w:rsidRPr="005D3D03">
        <w:t xml:space="preserve">harassment, alarm or distress through </w:t>
      </w:r>
      <w:r w:rsidR="21D9DA09">
        <w:t xml:space="preserve">the use of </w:t>
      </w:r>
      <w:r w:rsidRPr="005D3D03">
        <w:t xml:space="preserve">threatening, abusive or insulting words, behaviour or communications. </w:t>
      </w:r>
      <w:r>
        <w:t>Intimate</w:t>
      </w:r>
      <w:r w:rsidRPr="005D3D03">
        <w:t xml:space="preserve"> image abuse, of which revenge porn is an example, may amount to harassment. If so, then the perpetrator may be </w:t>
      </w:r>
      <w:r w:rsidR="618605A5">
        <w:t>crimin</w:t>
      </w:r>
      <w:r w:rsidR="1A2B1649">
        <w:t xml:space="preserve">ally </w:t>
      </w:r>
      <w:r w:rsidRPr="005D3D03">
        <w:t xml:space="preserve">liable for the offence of harassment, and the victim may be able to obtain a POHA </w:t>
      </w:r>
      <w:r w:rsidR="00B96C26" w:rsidRPr="00F064E2">
        <w:t>Protection Order (PO)</w:t>
      </w:r>
      <w:r w:rsidRPr="005D3D03">
        <w:t xml:space="preserve">. However, the primary offences which address such misconduct are found in the Penal Code. </w:t>
      </w:r>
    </w:p>
    <w:p w14:paraId="023DE096" w14:textId="5DC8DAAE" w:rsidR="00F064E2" w:rsidRPr="005D3D03" w:rsidRDefault="7E26D891" w:rsidP="00E911EA">
      <w:pPr>
        <w:jc w:val="both"/>
      </w:pPr>
      <w:r w:rsidRPr="1C2A07E8">
        <w:t xml:space="preserve">Additionally, a </w:t>
      </w:r>
      <w:r w:rsidRPr="6E013F5D">
        <w:t xml:space="preserve">victim of harassment may be able to obtain a </w:t>
      </w:r>
      <w:r w:rsidRPr="6B6B85E6">
        <w:t>self-help</w:t>
      </w:r>
      <w:r w:rsidRPr="6E013F5D">
        <w:t xml:space="preserve"> civil remedy in the </w:t>
      </w:r>
      <w:r w:rsidRPr="40A75BA0">
        <w:t>form of</w:t>
      </w:r>
      <w:r w:rsidR="00F064E2" w:rsidRPr="00F064E2">
        <w:t xml:space="preserve"> a </w:t>
      </w:r>
      <w:r w:rsidR="00B96C26">
        <w:t>PO</w:t>
      </w:r>
      <w:r w:rsidR="00F064E2" w:rsidRPr="00F064E2">
        <w:t xml:space="preserve"> to require the harasser to stop the harassment</w:t>
      </w:r>
      <w:r w:rsidR="30EB64B0" w:rsidRPr="6B6B85E6">
        <w:t xml:space="preserve">. This </w:t>
      </w:r>
      <w:r w:rsidR="30EB64B0" w:rsidRPr="28FFD41C">
        <w:t>includes</w:t>
      </w:r>
      <w:r w:rsidR="00F064E2" w:rsidRPr="00F064E2">
        <w:t xml:space="preserve"> removing the intimate image and not </w:t>
      </w:r>
      <w:r w:rsidR="00F064E2" w:rsidRPr="28FFD41C">
        <w:t>publish</w:t>
      </w:r>
      <w:r w:rsidR="4C7235BD" w:rsidRPr="28FFD41C">
        <w:t>ing</w:t>
      </w:r>
      <w:r w:rsidR="00F064E2" w:rsidRPr="00F064E2">
        <w:t xml:space="preserve"> the intimate image further. The PO may also require an internet intermediary to disable access to the </w:t>
      </w:r>
      <w:r w:rsidR="038FBA8B" w:rsidRPr="7D6D8F51">
        <w:t>intimate image</w:t>
      </w:r>
      <w:r w:rsidR="00F064E2" w:rsidRPr="00F064E2">
        <w:t>.</w:t>
      </w:r>
    </w:p>
    <w:p w14:paraId="6CB28EB4" w14:textId="126444FA" w:rsidR="001F4440" w:rsidRDefault="00300511" w:rsidP="0011048E">
      <w:pPr>
        <w:jc w:val="both"/>
      </w:pPr>
      <w:r w:rsidRPr="00300511">
        <w:t>POHA was amended in 2019 to further protect victims by criminalising the publication of personally identifiable information (e.g., photographs, contact numbers, addresses or employment details) with (a) the intention of causing harassment, alarm or distress to another person; or (b) with the intent to cause the victim to believe unlawful violence would be used or to facilitate the use of unlawful violence, or knowing/having reasonable cause to believe that it would be likely to have these effects. For the avoidance of doubt, the new offences do not stop people from legitimately sharing information, such as posting videos of an incident to give a factual account of the incident, or to seek help identifying the perpetrators of crimes.</w:t>
      </w:r>
    </w:p>
    <w:p w14:paraId="5490480E" w14:textId="0295B36C" w:rsidR="001F4440" w:rsidRPr="00F05C46" w:rsidRDefault="00AC5A1D" w:rsidP="0045392A">
      <w:pPr>
        <w:pStyle w:val="ListParagraph"/>
        <w:numPr>
          <w:ilvl w:val="0"/>
          <w:numId w:val="25"/>
        </w:numPr>
        <w:rPr>
          <w:i/>
          <w:iCs/>
        </w:rPr>
      </w:pPr>
      <w:r w:rsidRPr="00F05C46">
        <w:rPr>
          <w:i/>
          <w:iCs/>
        </w:rPr>
        <w:t xml:space="preserve">Enactment of </w:t>
      </w:r>
      <w:r w:rsidR="001F4440" w:rsidRPr="00F05C46">
        <w:rPr>
          <w:i/>
          <w:iCs/>
        </w:rPr>
        <w:t>Online Criminal Harms Act</w:t>
      </w:r>
    </w:p>
    <w:p w14:paraId="58BA9FB9" w14:textId="59F59DFC" w:rsidR="009E21EC" w:rsidRPr="005273A6" w:rsidRDefault="00B307B2" w:rsidP="009E21EC">
      <w:r w:rsidRPr="005273A6">
        <w:t xml:space="preserve">The Online Criminal Harms Act has come into effect since February 2024.  It introduces levers to enable the authorities to deal more effectively with online criminal activities </w:t>
      </w:r>
      <w:r w:rsidR="009E21EC" w:rsidRPr="005273A6">
        <w:t xml:space="preserve">such as the non-consensual dissemination of intimate images and the distribution of child sexual abuse material. </w:t>
      </w:r>
    </w:p>
    <w:p w14:paraId="714D3777" w14:textId="4E173232" w:rsidR="00EC0ECB" w:rsidRPr="005273A6" w:rsidRDefault="009E21EC" w:rsidP="009E21EC">
      <w:r w:rsidRPr="005273A6">
        <w:t xml:space="preserve">The Act empowers law enforcement agencies to issue Directions to online service providers, other entities, or individuals to </w:t>
      </w:r>
      <w:r w:rsidR="00002E0B" w:rsidRPr="005273A6">
        <w:t>restrict the exposure of users in Singapore to online criminal content and activity.</w:t>
      </w:r>
    </w:p>
    <w:p w14:paraId="26B777BF" w14:textId="1C4A36E1" w:rsidR="0087567A" w:rsidRPr="00F05C46" w:rsidRDefault="000F2628" w:rsidP="0045392A">
      <w:pPr>
        <w:pStyle w:val="ListParagraph"/>
        <w:numPr>
          <w:ilvl w:val="0"/>
          <w:numId w:val="25"/>
        </w:numPr>
        <w:spacing w:after="0" w:line="240" w:lineRule="auto"/>
        <w:jc w:val="both"/>
        <w:rPr>
          <w:i/>
          <w:iCs/>
        </w:rPr>
      </w:pPr>
      <w:r>
        <w:rPr>
          <w:i/>
          <w:iCs/>
        </w:rPr>
        <w:t xml:space="preserve">Amendment to </w:t>
      </w:r>
      <w:r w:rsidR="0087567A" w:rsidRPr="00F05C46">
        <w:rPr>
          <w:i/>
          <w:iCs/>
        </w:rPr>
        <w:t>Broadcasting Act</w:t>
      </w:r>
    </w:p>
    <w:p w14:paraId="1119EAB9" w14:textId="77777777" w:rsidR="00EC0ECB" w:rsidRDefault="00EC0ECB" w:rsidP="00922CB2">
      <w:pPr>
        <w:pStyle w:val="ListParagraph"/>
        <w:spacing w:after="0" w:line="240" w:lineRule="auto"/>
        <w:ind w:left="0"/>
        <w:contextualSpacing w:val="0"/>
        <w:jc w:val="both"/>
      </w:pPr>
    </w:p>
    <w:p w14:paraId="3A4A4954" w14:textId="77BE5186" w:rsidR="007E5DDB" w:rsidRPr="00922CB2" w:rsidRDefault="005A3B9E" w:rsidP="00922CB2">
      <w:pPr>
        <w:pStyle w:val="ListParagraph"/>
        <w:spacing w:after="0" w:line="240" w:lineRule="auto"/>
        <w:ind w:left="0"/>
        <w:contextualSpacing w:val="0"/>
        <w:jc w:val="both"/>
      </w:pPr>
      <w:r>
        <w:lastRenderedPageBreak/>
        <w:t>T</w:t>
      </w:r>
      <w:r w:rsidR="007E5DDB" w:rsidRPr="00922CB2">
        <w:t xml:space="preserve">he Online Safety (Miscellaneous Amendments) Act, which came into effect on 1 February 2023, introduced a new part to the Broadcasting Act (BA) to regulate Online Communication Services (OCSs), which includes social media services (SMSs). The amendments tackle the issue of online safety on OCSs in an accretive and outcome-driven manner and empowers the IMDA to do the following: </w:t>
      </w:r>
    </w:p>
    <w:p w14:paraId="4EEBEF96" w14:textId="77777777" w:rsidR="007E5DDB" w:rsidRPr="00922CB2" w:rsidRDefault="007E5DDB" w:rsidP="00922CB2">
      <w:pPr>
        <w:pStyle w:val="ListParagraph"/>
        <w:spacing w:after="0" w:line="240" w:lineRule="auto"/>
        <w:ind w:left="0"/>
        <w:contextualSpacing w:val="0"/>
      </w:pPr>
    </w:p>
    <w:p w14:paraId="2BF386BE" w14:textId="71172E24" w:rsidR="007E5DDB" w:rsidRPr="00922CB2" w:rsidRDefault="007E5DDB" w:rsidP="00922CB2">
      <w:pPr>
        <w:spacing w:line="259" w:lineRule="auto"/>
        <w:jc w:val="both"/>
      </w:pPr>
      <w:r w:rsidRPr="00922CB2">
        <w:t>Issue directions to disable access by Singapore users to egregious content found on OCSs. Egregious content is defined in legislation and includes content that advocates or instructs on physical violence against humans, sexual violence, and content that is child sexual exploitation material.</w:t>
      </w:r>
    </w:p>
    <w:p w14:paraId="0DBE3812" w14:textId="48323DBB" w:rsidR="00F64045" w:rsidRDefault="007E5DDB" w:rsidP="0087567A">
      <w:pPr>
        <w:spacing w:line="259" w:lineRule="auto"/>
        <w:jc w:val="both"/>
      </w:pPr>
      <w:r w:rsidRPr="00922CB2">
        <w:t>Designate OCSs with significant reach or impact to comply with Codes of Practice. IMDA issued the Code of Practice for Online Safety – Social Media Services (CoP for SMSs) in July 2023 to require designated SMSs to have systems or processes in place to minimise Singapore users’ exposure to harmful content, with additional protection for children.</w:t>
      </w:r>
    </w:p>
    <w:p w14:paraId="5B3C8F83" w14:textId="51CB6378" w:rsidR="00D57FF1" w:rsidRPr="0038620C" w:rsidRDefault="0038620C" w:rsidP="00001C24">
      <w:r w:rsidRPr="00300511">
        <w:t>This includes having in place community guidelines, providing users with access to tools and reporting mechanisms to help them manage their own safety, and publishing annual online safety reports on their measures and levels of safety. The CoP for SMSs identifies six categories of harmful content, which includes sexual content, violent content, and suicide and self-harm content.</w:t>
      </w:r>
    </w:p>
    <w:p w14:paraId="0E0E19DD" w14:textId="0FC5A5A8" w:rsidR="001B2697" w:rsidRPr="00F05C46" w:rsidRDefault="00D57FF1" w:rsidP="0045392A">
      <w:pPr>
        <w:pStyle w:val="ListParagraph"/>
        <w:numPr>
          <w:ilvl w:val="0"/>
          <w:numId w:val="24"/>
        </w:numPr>
        <w:rPr>
          <w:b/>
          <w:bCs/>
          <w:lang w:val="en-GB"/>
        </w:rPr>
      </w:pPr>
      <w:r w:rsidRPr="00F05C46">
        <w:rPr>
          <w:b/>
          <w:bCs/>
          <w:lang w:val="en-GB"/>
        </w:rPr>
        <w:t xml:space="preserve">Public education </w:t>
      </w:r>
    </w:p>
    <w:p w14:paraId="1A6771B9" w14:textId="272760FD" w:rsidR="00633D68" w:rsidRDefault="00633D68" w:rsidP="009F1779">
      <w:pPr>
        <w:jc w:val="both"/>
      </w:pPr>
      <w:r w:rsidRPr="00633D68">
        <w:t>The national Digital for Life (</w:t>
      </w:r>
      <w:proofErr w:type="spellStart"/>
      <w:r w:rsidRPr="00633D68">
        <w:t>DfL</w:t>
      </w:r>
      <w:proofErr w:type="spellEnd"/>
      <w:r w:rsidRPr="00633D68">
        <w:t xml:space="preserve">) movement </w:t>
      </w:r>
      <w:r w:rsidR="001A46BA">
        <w:t xml:space="preserve">launched in 2021 </w:t>
      </w:r>
      <w:r w:rsidRPr="00633D68">
        <w:t xml:space="preserve">galvanises the community to help citizens of all ages and walks of life embrace digital as a lifelong pursuit. Our community partners have come onboard to produce resources as well as conduct workshops, webinars, and family activities to engage caregivers, youths, and members of the public on online safety. </w:t>
      </w:r>
    </w:p>
    <w:p w14:paraId="5A17F18B" w14:textId="1B1B5E4B" w:rsidR="006B7EA5" w:rsidRPr="006B7EA5" w:rsidRDefault="00633D68" w:rsidP="009F1779">
      <w:pPr>
        <w:jc w:val="both"/>
      </w:pPr>
      <w:r w:rsidRPr="00633D68">
        <w:t>Recently, IMDA also launched bite-sized resources on the Digital for Life portal to support parents in guiding their children’s online interactions.</w:t>
      </w:r>
      <w:r>
        <w:t xml:space="preserve"> </w:t>
      </w:r>
      <w:r w:rsidR="006B7EA5">
        <w:t>For instance, t</w:t>
      </w:r>
      <w:r w:rsidR="006B7EA5" w:rsidRPr="006B7EA5">
        <w:t xml:space="preserve">he Online Safety Digital Tools Resource Kit </w:t>
      </w:r>
      <w:r w:rsidR="00B46B3E" w:rsidRPr="00B46B3E">
        <w:t>is a series of infographics developed in collaboration between the Ministry of Communications and Information</w:t>
      </w:r>
      <w:r w:rsidR="001F4158">
        <w:t xml:space="preserve"> (MCI)</w:t>
      </w:r>
      <w:r w:rsidR="00B46B3E" w:rsidRPr="00B46B3E">
        <w:t xml:space="preserve"> and tech companies such as Google, Meta, </w:t>
      </w:r>
      <w:proofErr w:type="spellStart"/>
      <w:r w:rsidR="00B46B3E" w:rsidRPr="00B46B3E">
        <w:t>ByteDance</w:t>
      </w:r>
      <w:proofErr w:type="spellEnd"/>
      <w:r w:rsidR="00B46B3E" w:rsidRPr="00B46B3E">
        <w:t xml:space="preserve"> and X. The resource kit compiles online platforms’ safety features to teach users how to manage their safety online and report online harms encountered</w:t>
      </w:r>
      <w:r w:rsidR="006B7EA5" w:rsidRPr="006B7EA5">
        <w:t>.</w:t>
      </w:r>
    </w:p>
    <w:p w14:paraId="04D213AD" w14:textId="780AC737" w:rsidR="006B7EA5" w:rsidRPr="00F05C46" w:rsidRDefault="006B7EA5" w:rsidP="0045392A">
      <w:pPr>
        <w:pStyle w:val="ListParagraph"/>
        <w:numPr>
          <w:ilvl w:val="0"/>
          <w:numId w:val="24"/>
        </w:numPr>
        <w:rPr>
          <w:b/>
          <w:bCs/>
        </w:rPr>
      </w:pPr>
      <w:r w:rsidRPr="00F05C46">
        <w:rPr>
          <w:b/>
          <w:bCs/>
        </w:rPr>
        <w:t>Victim support</w:t>
      </w:r>
    </w:p>
    <w:p w14:paraId="793411AE" w14:textId="0A11E88F" w:rsidR="00704F1C" w:rsidRPr="00704F1C" w:rsidRDefault="00704F1C" w:rsidP="009F1779">
      <w:pPr>
        <w:jc w:val="both"/>
      </w:pPr>
      <w:r w:rsidRPr="00704F1C">
        <w:t xml:space="preserve">Victims of online harassment or online harms can refer to </w:t>
      </w:r>
      <w:proofErr w:type="spellStart"/>
      <w:r w:rsidR="00B46B3E" w:rsidRPr="00633D68">
        <w:t>DfL</w:t>
      </w:r>
      <w:proofErr w:type="spellEnd"/>
      <w:r w:rsidR="00B46B3E" w:rsidRPr="00704F1C">
        <w:t xml:space="preserve"> </w:t>
      </w:r>
      <w:r w:rsidRPr="00704F1C">
        <w:t xml:space="preserve">resources for the various options available on reporting harmful content and behaviours on social media services. </w:t>
      </w:r>
    </w:p>
    <w:p w14:paraId="394B1ECB" w14:textId="379676C0" w:rsidR="00573E86" w:rsidRPr="00573E86" w:rsidRDefault="00573E86" w:rsidP="009F1779">
      <w:pPr>
        <w:jc w:val="both"/>
      </w:pPr>
      <w:r w:rsidRPr="001561B0">
        <w:rPr>
          <w:rFonts w:ascii="Calibri" w:hAnsi="Calibri"/>
        </w:rPr>
        <w:t>Targets of online harms, including online harassment may also seek help from Singapore’s support centre, SHECARES@SCWO. The centre is set up by SG Her Empowerment (SHE), in collaboration with Singapore Council of Women’s Organisations (SCWO) and provides free counselling and pro-bono legal counselling. The centre assists with filing police reports and in-app reports with main Internet platforms through its community partnerships. It also has a partnership with Police where there is a pilot initiative to provide support for select serious sexual assault cases by interviewing the victim on-site at the centre.</w:t>
      </w:r>
    </w:p>
    <w:p w14:paraId="354715CF" w14:textId="47FAE59D" w:rsidR="00704F1C" w:rsidRPr="00704F1C" w:rsidRDefault="00704F1C" w:rsidP="009F1779">
      <w:pPr>
        <w:jc w:val="both"/>
        <w:rPr>
          <w:bCs/>
        </w:rPr>
      </w:pPr>
      <w:r w:rsidRPr="00704F1C">
        <w:t>TOUCH Community Services</w:t>
      </w:r>
      <w:r w:rsidR="00EE20BD" w:rsidRPr="00EE20BD">
        <w:t xml:space="preserve"> is another resource for victims.</w:t>
      </w:r>
      <w:r w:rsidRPr="00704F1C">
        <w:t xml:space="preserve"> TOUCH runs a cyber wellness hotline, which is manned by counsellors and social workers. The hotline receives a consistent volume of around 32 calls per month from parents and schools on cyber wellness issues, where about 90% of the calls are related to excessive device use. The remaining 10% are on cyberbullying and online safety.</w:t>
      </w:r>
    </w:p>
    <w:p w14:paraId="296C947C" w14:textId="77777777" w:rsidR="00D57FF1" w:rsidRDefault="00D57FF1" w:rsidP="00115D12">
      <w:pPr>
        <w:rPr>
          <w:lang w:val="en-GB"/>
        </w:rPr>
      </w:pPr>
    </w:p>
    <w:p w14:paraId="6314C9CC" w14:textId="73F1175E" w:rsidR="001B2697" w:rsidRPr="001B2697" w:rsidRDefault="006C1831" w:rsidP="001B2697">
      <w:pPr>
        <w:pStyle w:val="Heading3"/>
        <w:rPr>
          <w:b/>
          <w:bCs/>
          <w:u w:val="single"/>
          <w:lang w:val="en-GB"/>
        </w:rPr>
      </w:pPr>
      <w:bookmarkStart w:id="26" w:name="_Toc169709887"/>
      <w:r>
        <w:rPr>
          <w:b/>
          <w:bCs/>
          <w:lang w:val="en-GB"/>
        </w:rPr>
        <w:t>C.</w:t>
      </w:r>
      <w:r>
        <w:rPr>
          <w:b/>
          <w:bCs/>
          <w:lang w:val="en-GB"/>
        </w:rPr>
        <w:tab/>
      </w:r>
      <w:r w:rsidR="001B2697" w:rsidRPr="001B2697">
        <w:rPr>
          <w:b/>
          <w:bCs/>
          <w:u w:val="single"/>
          <w:lang w:val="en-GB"/>
        </w:rPr>
        <w:t>Portrayal of women and girls and discrimination/gender bias in the media</w:t>
      </w:r>
      <w:bookmarkEnd w:id="26"/>
      <w:r w:rsidR="001B2697" w:rsidRPr="001B2697">
        <w:rPr>
          <w:b/>
          <w:bCs/>
          <w:u w:val="single"/>
          <w:lang w:val="en-GB"/>
        </w:rPr>
        <w:t xml:space="preserve"> </w:t>
      </w:r>
    </w:p>
    <w:p w14:paraId="56FCAAFE" w14:textId="6A34B32B" w:rsidR="00DE4B28" w:rsidRPr="00DE4B28" w:rsidRDefault="00DE4B28" w:rsidP="009F1779">
      <w:pPr>
        <w:jc w:val="both"/>
      </w:pPr>
      <w:r w:rsidRPr="00DE4B28">
        <w:t xml:space="preserve">MCI and </w:t>
      </w:r>
      <w:r w:rsidR="008C66CA">
        <w:t>IMDA</w:t>
      </w:r>
      <w:r w:rsidRPr="00DE4B28">
        <w:t xml:space="preserve"> regulate media content to protect younger audiences from age-inappropriate content, and at the same time enable mature audiences to make informed choices over a diverse range of content. We regularly consult our advisory committees, made up of members of the public from all walks of life, on specific titles as well as content guidelines and regulations. </w:t>
      </w:r>
    </w:p>
    <w:p w14:paraId="36AB6C28" w14:textId="5862F18A" w:rsidR="00DE4B28" w:rsidRPr="00DE4B28" w:rsidRDefault="00DE4B28" w:rsidP="009F1779">
      <w:pPr>
        <w:jc w:val="both"/>
      </w:pPr>
      <w:r w:rsidRPr="00DE4B28">
        <w:t>We adopt the general principle that media content with higher reach and impact should be subject to more stringent content regulatory requirements. Our regulatory approach has to be sensitive to societal norms and values, and we take reference from prevailing norms.</w:t>
      </w:r>
    </w:p>
    <w:p w14:paraId="4BEFD6D7" w14:textId="66D91F29" w:rsidR="00DE4B28" w:rsidRPr="00DE4B28" w:rsidRDefault="00DE4B28" w:rsidP="009F1779">
      <w:pPr>
        <w:jc w:val="both"/>
      </w:pPr>
      <w:r w:rsidRPr="00DE4B28">
        <w:t>IMDA’s content codes for TV and Radio</w:t>
      </w:r>
      <w:r w:rsidRPr="00FB1736">
        <w:rPr>
          <w:vertAlign w:val="superscript"/>
        </w:rPr>
        <w:footnoteReference w:id="18"/>
      </w:r>
      <w:r w:rsidRPr="00FB1736">
        <w:rPr>
          <w:vertAlign w:val="superscript"/>
        </w:rPr>
        <w:t xml:space="preserve"> </w:t>
      </w:r>
      <w:r w:rsidRPr="00DE4B28">
        <w:t>and advertising</w:t>
      </w:r>
      <w:r w:rsidRPr="00FB1736">
        <w:rPr>
          <w:vertAlign w:val="superscript"/>
        </w:rPr>
        <w:footnoteReference w:id="19"/>
      </w:r>
      <w:r w:rsidRPr="00DE4B28">
        <w:t xml:space="preserve"> state that programmes and advertisements should not encourage or in any way lead to the discrimination against any section of the community on account of race, religion, gender, age, occupational status or disability.</w:t>
      </w:r>
    </w:p>
    <w:p w14:paraId="048E9229" w14:textId="704CC6CC" w:rsidR="00DE4B28" w:rsidRPr="00DE4B28" w:rsidRDefault="00DE4B28" w:rsidP="009F1779">
      <w:pPr>
        <w:jc w:val="both"/>
      </w:pPr>
      <w:r w:rsidRPr="00DE4B28">
        <w:t>Broadcasters are required to exercise sensitivity regarding humour that may offend good taste and decency, including jokes based on gender stereotypes, which can cause hurt or humiliation.</w:t>
      </w:r>
    </w:p>
    <w:p w14:paraId="7402D895" w14:textId="0D00B0F9" w:rsidR="009D5737" w:rsidRPr="00DE4B28" w:rsidRDefault="00DE4B28" w:rsidP="009F1779">
      <w:pPr>
        <w:jc w:val="both"/>
      </w:pPr>
      <w:r w:rsidRPr="00DE4B28">
        <w:t>Content Codes for the various mediums (including films and publications) also indicate that content should be sensitive to prevailing social norms/community standards.</w:t>
      </w:r>
    </w:p>
    <w:p w14:paraId="11F2E0D8" w14:textId="77777777" w:rsidR="001F56A7" w:rsidRDefault="001F56A7" w:rsidP="00115D12">
      <w:pPr>
        <w:ind w:left="360"/>
        <w:rPr>
          <w:b/>
          <w:bCs/>
          <w:lang w:val="en-GB"/>
        </w:rPr>
      </w:pPr>
    </w:p>
    <w:p w14:paraId="05944267" w14:textId="77777777" w:rsidR="005F0C23" w:rsidRDefault="005F0C23">
      <w:pPr>
        <w:spacing w:line="259" w:lineRule="auto"/>
        <w:rPr>
          <w:color w:val="BFBFBF" w:themeColor="background1" w:themeShade="BF"/>
        </w:rPr>
      </w:pPr>
      <w:r>
        <w:rPr>
          <w:color w:val="BFBFBF" w:themeColor="background1" w:themeShade="BF"/>
        </w:rPr>
        <w:br w:type="page"/>
      </w:r>
    </w:p>
    <w:p w14:paraId="099BED08" w14:textId="2802917D" w:rsidR="3842B804" w:rsidRPr="00D32B79" w:rsidRDefault="3842B804" w:rsidP="003463F6">
      <w:pPr>
        <w:pStyle w:val="Heading2"/>
      </w:pPr>
      <w:bookmarkStart w:id="27" w:name="_Toc169709888"/>
      <w:r w:rsidRPr="00D32B79">
        <w:rPr>
          <w:rStyle w:val="Heading2Char"/>
          <w:b/>
          <w:sz w:val="32"/>
          <w:szCs w:val="32"/>
          <w:u w:val="single"/>
        </w:rPr>
        <w:lastRenderedPageBreak/>
        <w:t>Participation, accountability, and gender-responsive institutions</w:t>
      </w:r>
      <w:bookmarkEnd w:id="27"/>
      <w:r w:rsidRPr="00D32B79">
        <w:br/>
      </w:r>
    </w:p>
    <w:p w14:paraId="519DD313" w14:textId="51183E22" w:rsidR="00D72BED" w:rsidRPr="00674AF0" w:rsidRDefault="006C1831" w:rsidP="007F514E">
      <w:pPr>
        <w:pStyle w:val="Heading3"/>
        <w:rPr>
          <w:b/>
          <w:bCs/>
          <w:u w:val="single"/>
        </w:rPr>
      </w:pPr>
      <w:bookmarkStart w:id="28" w:name="_Toc169709889"/>
      <w:r w:rsidRPr="00D32B79">
        <w:rPr>
          <w:b/>
        </w:rPr>
        <w:t>A.</w:t>
      </w:r>
      <w:r w:rsidRPr="00D32B79">
        <w:rPr>
          <w:b/>
        </w:rPr>
        <w:tab/>
      </w:r>
      <w:r w:rsidR="006C51C4" w:rsidRPr="00D32B79">
        <w:rPr>
          <w:b/>
          <w:u w:val="single"/>
        </w:rPr>
        <w:t xml:space="preserve">Promote </w:t>
      </w:r>
      <w:r w:rsidR="0011048E">
        <w:rPr>
          <w:b/>
          <w:u w:val="single"/>
        </w:rPr>
        <w:t>W</w:t>
      </w:r>
      <w:r w:rsidR="006C51C4" w:rsidRPr="00D32B79">
        <w:rPr>
          <w:b/>
          <w:u w:val="single"/>
        </w:rPr>
        <w:t xml:space="preserve">omen’s </w:t>
      </w:r>
      <w:r w:rsidR="0011048E">
        <w:rPr>
          <w:b/>
          <w:u w:val="single"/>
        </w:rPr>
        <w:t>P</w:t>
      </w:r>
      <w:r w:rsidR="006C51C4" w:rsidRPr="00D32B79">
        <w:rPr>
          <w:b/>
          <w:u w:val="single"/>
        </w:rPr>
        <w:t xml:space="preserve">articipation in </w:t>
      </w:r>
      <w:r w:rsidR="0011048E">
        <w:rPr>
          <w:b/>
          <w:u w:val="single"/>
        </w:rPr>
        <w:t>P</w:t>
      </w:r>
      <w:r w:rsidR="006C51C4" w:rsidRPr="00D32B79">
        <w:rPr>
          <w:b/>
          <w:u w:val="single"/>
        </w:rPr>
        <w:t xml:space="preserve">ublic </w:t>
      </w:r>
      <w:r w:rsidR="0011048E">
        <w:rPr>
          <w:b/>
          <w:u w:val="single"/>
        </w:rPr>
        <w:t>L</w:t>
      </w:r>
      <w:r w:rsidR="006C51C4" w:rsidRPr="00D32B79">
        <w:rPr>
          <w:b/>
          <w:u w:val="single"/>
        </w:rPr>
        <w:t xml:space="preserve">ife and </w:t>
      </w:r>
      <w:r w:rsidR="0011048E">
        <w:rPr>
          <w:b/>
          <w:u w:val="single"/>
        </w:rPr>
        <w:t>D</w:t>
      </w:r>
      <w:r w:rsidR="006C51C4" w:rsidRPr="00D32B79">
        <w:rPr>
          <w:b/>
          <w:u w:val="single"/>
        </w:rPr>
        <w:t>ecision-</w:t>
      </w:r>
      <w:r w:rsidR="0011048E">
        <w:rPr>
          <w:b/>
          <w:u w:val="single"/>
        </w:rPr>
        <w:t>M</w:t>
      </w:r>
      <w:r w:rsidR="006C51C4" w:rsidRPr="00D32B79">
        <w:rPr>
          <w:b/>
          <w:u w:val="single"/>
        </w:rPr>
        <w:t>aking</w:t>
      </w:r>
      <w:bookmarkEnd w:id="28"/>
      <w:r w:rsidR="00B759BC" w:rsidRPr="00674AF0">
        <w:rPr>
          <w:b/>
          <w:bCs/>
          <w:u w:val="single"/>
        </w:rPr>
        <w:t xml:space="preserve"> </w:t>
      </w:r>
    </w:p>
    <w:p w14:paraId="2D626A68" w14:textId="77777777" w:rsidR="00F96990" w:rsidRDefault="00F96990" w:rsidP="00F96990">
      <w:pPr>
        <w:spacing w:before="120" w:after="120"/>
        <w:rPr>
          <w:rFonts w:cstheme="minorHAnsi"/>
          <w:lang w:eastAsia="en-SG"/>
        </w:rPr>
      </w:pPr>
      <w:r w:rsidRPr="00F96990">
        <w:rPr>
          <w:rFonts w:cstheme="minorHAnsi"/>
          <w:lang w:eastAsia="en-SG"/>
        </w:rPr>
        <w:t xml:space="preserve">Singapore encourages women’s participation in politics and public life. </w:t>
      </w:r>
    </w:p>
    <w:p w14:paraId="0EB78FD4" w14:textId="74638038" w:rsidR="0011048E" w:rsidRPr="00F96990" w:rsidRDefault="00983B31" w:rsidP="00F96990">
      <w:pPr>
        <w:spacing w:before="120" w:after="120"/>
        <w:rPr>
          <w:rFonts w:cstheme="minorHAnsi"/>
          <w:lang w:eastAsia="en-SG"/>
        </w:rPr>
      </w:pPr>
      <w:r w:rsidRPr="00983B31">
        <w:rPr>
          <w:rFonts w:cstheme="minorHAnsi"/>
          <w:lang w:eastAsia="en-SG"/>
        </w:rPr>
        <w:t xml:space="preserve">The principle of meritocracy, where both men and women are provided equal opportunities, applies in Singapore. </w:t>
      </w:r>
      <w:r>
        <w:rPr>
          <w:rFonts w:cstheme="minorHAnsi"/>
          <w:lang w:eastAsia="en-SG"/>
        </w:rPr>
        <w:t>W</w:t>
      </w:r>
      <w:r w:rsidRPr="00983B31">
        <w:rPr>
          <w:rFonts w:cstheme="minorHAnsi"/>
          <w:lang w:eastAsia="en-SG"/>
        </w:rPr>
        <w:t>omen are well represented at senior decision-making levels.</w:t>
      </w:r>
    </w:p>
    <w:p w14:paraId="27DA4D1B" w14:textId="1C049803" w:rsidR="00130B3B" w:rsidRPr="006C1831" w:rsidRDefault="00130B3B" w:rsidP="0045392A">
      <w:pPr>
        <w:pStyle w:val="ListParagraph"/>
        <w:numPr>
          <w:ilvl w:val="0"/>
          <w:numId w:val="26"/>
        </w:numPr>
        <w:rPr>
          <w:b/>
          <w:bCs/>
        </w:rPr>
      </w:pPr>
      <w:r w:rsidRPr="006C1831">
        <w:rPr>
          <w:b/>
          <w:bCs/>
        </w:rPr>
        <w:t xml:space="preserve">Women in politics </w:t>
      </w:r>
    </w:p>
    <w:p w14:paraId="3430CF47" w14:textId="735AF31C" w:rsidR="00070253" w:rsidRPr="00585580" w:rsidRDefault="002108E4" w:rsidP="001A6819">
      <w:pPr>
        <w:jc w:val="both"/>
        <w:rPr>
          <w:rFonts w:eastAsia="Calibri" w:cs="Arial"/>
        </w:rPr>
      </w:pPr>
      <w:r w:rsidRPr="279716A9">
        <w:rPr>
          <w:rFonts w:eastAsia="Calibri" w:cs="Arial"/>
        </w:rPr>
        <w:t xml:space="preserve">Female </w:t>
      </w:r>
      <w:r w:rsidR="00070253" w:rsidRPr="279716A9">
        <w:rPr>
          <w:rFonts w:eastAsia="Calibri" w:cs="Arial"/>
        </w:rPr>
        <w:t>participation in politics has improved significantly. Women in Singapore are able to enter politics based on their own merits. Various political parties in Singapore consciously and continually seek suitable women candidates. Equal visibility is also given to women who are candidates or elected representatives as media in Singapore is non-discriminatory against women.</w:t>
      </w:r>
    </w:p>
    <w:p w14:paraId="51EDF782" w14:textId="3A74BEE9" w:rsidR="00D17074" w:rsidRDefault="00D17074" w:rsidP="00D17074">
      <w:pPr>
        <w:spacing w:after="0" w:line="240" w:lineRule="auto"/>
        <w:jc w:val="both"/>
        <w:rPr>
          <w:rFonts w:eastAsia="Calibri" w:cs="Arial"/>
        </w:rPr>
      </w:pPr>
      <w:r w:rsidRPr="00225AB8">
        <w:rPr>
          <w:rFonts w:cs="Arial"/>
          <w:lang w:eastAsia="en-SG"/>
        </w:rPr>
        <w:t>Singapore had our very first woman President who served in office from 2017</w:t>
      </w:r>
      <w:r>
        <w:rPr>
          <w:rFonts w:cs="Arial"/>
          <w:lang w:eastAsia="en-SG"/>
        </w:rPr>
        <w:t xml:space="preserve"> – </w:t>
      </w:r>
      <w:r w:rsidRPr="00225AB8">
        <w:rPr>
          <w:rFonts w:cs="Arial"/>
          <w:lang w:eastAsia="en-SG"/>
        </w:rPr>
        <w:t>2023.</w:t>
      </w:r>
      <w:r>
        <w:rPr>
          <w:rFonts w:cs="Arial"/>
          <w:lang w:eastAsia="en-SG"/>
        </w:rPr>
        <w:t xml:space="preserve"> </w:t>
      </w:r>
      <w:r w:rsidR="00921F05" w:rsidDel="00BC1ECC">
        <w:rPr>
          <w:rFonts w:cs="Arial"/>
          <w:lang w:eastAsia="en-SG"/>
        </w:rPr>
        <w:t xml:space="preserve">The proportion of women </w:t>
      </w:r>
      <w:r w:rsidR="00904023">
        <w:rPr>
          <w:rFonts w:cs="Arial"/>
          <w:lang w:eastAsia="en-SG"/>
        </w:rPr>
        <w:t>increased from 23.8%</w:t>
      </w:r>
      <w:r w:rsidR="00601205">
        <w:rPr>
          <w:rFonts w:cs="Arial"/>
          <w:lang w:eastAsia="en-SG"/>
        </w:rPr>
        <w:t xml:space="preserve"> </w:t>
      </w:r>
      <w:r w:rsidR="00012A8D">
        <w:rPr>
          <w:rFonts w:cs="Arial"/>
          <w:lang w:eastAsia="en-SG"/>
        </w:rPr>
        <w:t>for the 13</w:t>
      </w:r>
      <w:r w:rsidR="00012A8D" w:rsidRPr="00001C24">
        <w:rPr>
          <w:rFonts w:cs="Arial"/>
          <w:vertAlign w:val="superscript"/>
          <w:lang w:eastAsia="en-SG"/>
        </w:rPr>
        <w:t>th</w:t>
      </w:r>
      <w:r w:rsidR="00012A8D">
        <w:rPr>
          <w:rFonts w:cs="Arial"/>
          <w:lang w:eastAsia="en-SG"/>
        </w:rPr>
        <w:t xml:space="preserve"> Parliament to 29.8% for the 14</w:t>
      </w:r>
      <w:r w:rsidR="00012A8D" w:rsidRPr="00001C24">
        <w:rPr>
          <w:rFonts w:cs="Arial"/>
          <w:vertAlign w:val="superscript"/>
          <w:lang w:eastAsia="en-SG"/>
        </w:rPr>
        <w:t>th</w:t>
      </w:r>
      <w:r w:rsidR="00012A8D">
        <w:rPr>
          <w:rFonts w:cs="Arial"/>
          <w:lang w:eastAsia="en-SG"/>
        </w:rPr>
        <w:t xml:space="preserve"> Parliament.</w:t>
      </w:r>
      <w:r w:rsidR="00C247C8">
        <w:rPr>
          <w:rFonts w:eastAsia="Calibri" w:cs="Arial"/>
        </w:rPr>
        <w:t xml:space="preserve"> </w:t>
      </w:r>
      <w:r w:rsidR="004D2EA5">
        <w:rPr>
          <w:rFonts w:eastAsia="Calibri" w:cs="Arial"/>
        </w:rPr>
        <w:t xml:space="preserve">This is </w:t>
      </w:r>
      <w:r w:rsidR="0084682B" w:rsidRPr="076F0E15">
        <w:rPr>
          <w:rFonts w:eastAsia="Calibri" w:cs="Arial"/>
        </w:rPr>
        <w:t>comparable to the OECD average of 30.1% in 2019</w:t>
      </w:r>
      <w:r w:rsidR="00D67C76">
        <w:rPr>
          <w:rFonts w:eastAsia="Calibri" w:cs="Arial"/>
        </w:rPr>
        <w:t xml:space="preserve">, </w:t>
      </w:r>
      <w:r w:rsidR="0084682B" w:rsidRPr="076F0E15">
        <w:rPr>
          <w:rFonts w:eastAsia="Calibri" w:cs="Arial"/>
        </w:rPr>
        <w:t xml:space="preserve">higher than the Inter-Parliamentary Union average of </w:t>
      </w:r>
      <w:r w:rsidR="001C69DB">
        <w:rPr>
          <w:rFonts w:eastAsia="Calibri" w:cs="Arial"/>
        </w:rPr>
        <w:t>25.5</w:t>
      </w:r>
      <w:r w:rsidR="0084682B" w:rsidRPr="076F0E15">
        <w:rPr>
          <w:rFonts w:eastAsia="Calibri" w:cs="Arial"/>
        </w:rPr>
        <w:t>%</w:t>
      </w:r>
      <w:r w:rsidR="002F0054">
        <w:rPr>
          <w:rFonts w:eastAsia="Calibri" w:cs="Arial"/>
        </w:rPr>
        <w:t>,</w:t>
      </w:r>
      <w:r w:rsidR="00D67C76">
        <w:rPr>
          <w:rFonts w:eastAsia="Calibri" w:cs="Arial"/>
        </w:rPr>
        <w:t xml:space="preserve"> </w:t>
      </w:r>
      <w:r w:rsidR="00D67C76" w:rsidRPr="00225AB8">
        <w:rPr>
          <w:rFonts w:cs="Arial"/>
          <w:lang w:eastAsia="en-SG"/>
        </w:rPr>
        <w:t>and in line with the UN’s target of 30% women lawmakers in each parliament</w:t>
      </w:r>
      <w:r w:rsidR="0084682B" w:rsidRPr="076F0E15">
        <w:rPr>
          <w:rFonts w:eastAsia="Calibri" w:cs="Arial"/>
        </w:rPr>
        <w:t>.</w:t>
      </w:r>
      <w:r w:rsidR="00011ACD">
        <w:rPr>
          <w:rFonts w:eastAsia="Calibri" w:cs="Arial"/>
        </w:rPr>
        <w:t xml:space="preserve"> </w:t>
      </w:r>
    </w:p>
    <w:p w14:paraId="4272035B" w14:textId="77777777" w:rsidR="000F122E" w:rsidRDefault="000F122E" w:rsidP="00D17074">
      <w:pPr>
        <w:spacing w:after="0" w:line="240" w:lineRule="auto"/>
        <w:jc w:val="both"/>
        <w:rPr>
          <w:rFonts w:eastAsia="Calibri" w:cs="Arial"/>
          <w:szCs w:val="24"/>
        </w:rPr>
      </w:pPr>
    </w:p>
    <w:p w14:paraId="1D440F38" w14:textId="78A7C3D4" w:rsidR="0000285E" w:rsidRDefault="0000285E" w:rsidP="0000285E">
      <w:pPr>
        <w:pStyle w:val="ListParagraph"/>
        <w:spacing w:after="0" w:line="254" w:lineRule="auto"/>
        <w:ind w:left="0"/>
        <w:contextualSpacing w:val="0"/>
        <w:jc w:val="both"/>
        <w:rPr>
          <w:rFonts w:eastAsia="Calibri" w:cs="Arial"/>
          <w:szCs w:val="24"/>
        </w:rPr>
      </w:pPr>
      <w:r w:rsidRPr="00BA464D">
        <w:rPr>
          <w:rFonts w:cs="Arial"/>
          <w:szCs w:val="24"/>
        </w:rPr>
        <w:t xml:space="preserve">Singapore remains committed to accelerating the progress of women’s participation in areas where women may still be underrepresented, </w:t>
      </w:r>
      <w:r w:rsidR="00F26B2A">
        <w:rPr>
          <w:rFonts w:cs="Arial"/>
          <w:szCs w:val="24"/>
        </w:rPr>
        <w:t xml:space="preserve">such as politics, </w:t>
      </w:r>
      <w:r w:rsidRPr="00BA464D">
        <w:rPr>
          <w:rFonts w:cs="Arial"/>
          <w:szCs w:val="24"/>
        </w:rPr>
        <w:t>and where further effort is needed to bring about greater equality.</w:t>
      </w:r>
      <w:r w:rsidR="00F26B2A">
        <w:rPr>
          <w:rFonts w:cs="Arial"/>
          <w:szCs w:val="24"/>
        </w:rPr>
        <w:t xml:space="preserve"> </w:t>
      </w:r>
      <w:r w:rsidR="00F26B2A" w:rsidRPr="00585580">
        <w:rPr>
          <w:rFonts w:eastAsia="Calibri" w:cs="Arial"/>
          <w:szCs w:val="24"/>
        </w:rPr>
        <w:t xml:space="preserve">This ensures that women’s issues and perspectives are given due attention, through thorough discussions in the formulation of policies, national </w:t>
      </w:r>
      <w:r w:rsidR="006A5EFE" w:rsidRPr="00585580">
        <w:rPr>
          <w:rFonts w:eastAsia="Calibri" w:cs="Arial"/>
          <w:szCs w:val="24"/>
        </w:rPr>
        <w:t>directives,</w:t>
      </w:r>
      <w:r w:rsidR="00F26B2A" w:rsidRPr="00585580">
        <w:rPr>
          <w:rFonts w:eastAsia="Calibri" w:cs="Arial"/>
          <w:szCs w:val="24"/>
        </w:rPr>
        <w:t xml:space="preserve"> and laws.</w:t>
      </w:r>
    </w:p>
    <w:p w14:paraId="016B5311" w14:textId="77777777" w:rsidR="0011048E" w:rsidRDefault="0011048E" w:rsidP="00001C24">
      <w:pPr>
        <w:pStyle w:val="ListParagraph"/>
        <w:ind w:left="0"/>
        <w:jc w:val="both"/>
        <w:rPr>
          <w:b/>
          <w:bCs/>
        </w:rPr>
      </w:pPr>
    </w:p>
    <w:p w14:paraId="0733754D" w14:textId="4F97F25D" w:rsidR="00431BC1" w:rsidRDefault="00431BC1" w:rsidP="00001C24">
      <w:pPr>
        <w:pStyle w:val="ListParagraph"/>
        <w:numPr>
          <w:ilvl w:val="0"/>
          <w:numId w:val="26"/>
        </w:numPr>
        <w:jc w:val="both"/>
        <w:rPr>
          <w:b/>
          <w:bCs/>
        </w:rPr>
      </w:pPr>
      <w:r>
        <w:rPr>
          <w:b/>
          <w:bCs/>
        </w:rPr>
        <w:t>Women in civil service and judiciary</w:t>
      </w:r>
      <w:r w:rsidR="009633DD">
        <w:rPr>
          <w:b/>
          <w:bCs/>
        </w:rPr>
        <w:t xml:space="preserve"> </w:t>
      </w:r>
    </w:p>
    <w:p w14:paraId="343F72CF" w14:textId="637CD476" w:rsidR="007A4B5B" w:rsidRDefault="007A4B5B" w:rsidP="00001C24">
      <w:pPr>
        <w:jc w:val="both"/>
      </w:pPr>
      <w:r w:rsidRPr="007A4B5B">
        <w:t>In the Singapore Public Service, women are appointed to leadership positions based on the principles of equal opportunity and meritocracy. These principles also apply to selection for talent and leadership development programmes in the public sector. Candidates, both men and women, are nominated and selected for such programmes based on their performance and leadership potential.</w:t>
      </w:r>
    </w:p>
    <w:p w14:paraId="676C82A6" w14:textId="72B44C03" w:rsidR="009F5117" w:rsidRPr="009F5117" w:rsidRDefault="009F5117" w:rsidP="00001C24">
      <w:pPr>
        <w:jc w:val="both"/>
      </w:pPr>
      <w:r>
        <w:t>W</w:t>
      </w:r>
      <w:r w:rsidRPr="009F5117">
        <w:t xml:space="preserve">omen’s representation in the public service leadership is nearly as much as men. Our statistics show that: </w:t>
      </w:r>
    </w:p>
    <w:p w14:paraId="48DD08D3" w14:textId="78E58EC7" w:rsidR="009F5117" w:rsidRPr="009F5117" w:rsidRDefault="009F5117" w:rsidP="00001C24">
      <w:pPr>
        <w:pStyle w:val="ListParagraph"/>
        <w:numPr>
          <w:ilvl w:val="0"/>
          <w:numId w:val="6"/>
        </w:numPr>
        <w:jc w:val="both"/>
      </w:pPr>
      <w:r w:rsidRPr="009F5117">
        <w:t>Women make up 44% of decision-making positions at Director-level and above as of 2022.</w:t>
      </w:r>
    </w:p>
    <w:p w14:paraId="6815B62C" w14:textId="0758B941" w:rsidR="007A4B5B" w:rsidRPr="009F5117" w:rsidRDefault="009F5117" w:rsidP="00001C24">
      <w:pPr>
        <w:pStyle w:val="ListParagraph"/>
        <w:numPr>
          <w:ilvl w:val="0"/>
          <w:numId w:val="6"/>
        </w:numPr>
        <w:jc w:val="both"/>
      </w:pPr>
      <w:r w:rsidRPr="009F5117">
        <w:t>Women form 46% of officers on the key leadership development programmes for the Public Service (viz. the Administrative Service and Public Service Leadership Programme), which aim to develop officers for senior leadership positions (viz. PS, DS, CEO), as of Dec</w:t>
      </w:r>
      <w:r w:rsidR="00166D65">
        <w:t>ember</w:t>
      </w:r>
      <w:r w:rsidRPr="009F5117">
        <w:t xml:space="preserve"> 2022.</w:t>
      </w:r>
    </w:p>
    <w:p w14:paraId="23FB0D56" w14:textId="0124491E" w:rsidR="00D0285D" w:rsidRPr="00D0285D" w:rsidRDefault="00D0285D" w:rsidP="00001C24">
      <w:pPr>
        <w:jc w:val="both"/>
      </w:pPr>
      <w:r>
        <w:t>W</w:t>
      </w:r>
      <w:r w:rsidRPr="00D0285D">
        <w:t>omen have achieved the following in the judiciary (as of 2023)</w:t>
      </w:r>
      <w:r>
        <w:t>:</w:t>
      </w:r>
    </w:p>
    <w:p w14:paraId="06647FFD" w14:textId="3253E4D4" w:rsidR="00D0285D" w:rsidRDefault="00D0285D" w:rsidP="00001C24">
      <w:pPr>
        <w:pStyle w:val="ListParagraph"/>
        <w:numPr>
          <w:ilvl w:val="0"/>
          <w:numId w:val="39"/>
        </w:numPr>
        <w:jc w:val="both"/>
      </w:pPr>
      <w:r w:rsidRPr="00D0285D">
        <w:t>51.</w:t>
      </w:r>
      <w:r w:rsidR="00922F69">
        <w:t>3</w:t>
      </w:r>
      <w:r w:rsidRPr="00D0285D">
        <w:t xml:space="preserve">% of Judicial Officers in the Singapore Courts (comprising of the Supreme Court, State Courts, and Family Justice Courts) are women, </w:t>
      </w:r>
    </w:p>
    <w:p w14:paraId="216E5B71" w14:textId="5218BF49" w:rsidR="00D0285D" w:rsidRDefault="00D0285D" w:rsidP="00001C24">
      <w:pPr>
        <w:pStyle w:val="ListParagraph"/>
        <w:numPr>
          <w:ilvl w:val="0"/>
          <w:numId w:val="39"/>
        </w:numPr>
        <w:jc w:val="both"/>
      </w:pPr>
      <w:r w:rsidRPr="00D0285D">
        <w:t>2</w:t>
      </w:r>
      <w:r w:rsidR="00922F69">
        <w:t>9</w:t>
      </w:r>
      <w:r w:rsidRPr="00D0285D">
        <w:t>% of Judges in the Supreme Court are women</w:t>
      </w:r>
      <w:r w:rsidR="00B34D97">
        <w:t>.</w:t>
      </w:r>
    </w:p>
    <w:p w14:paraId="773B07AF" w14:textId="77777777" w:rsidR="00D0285D" w:rsidRDefault="00D0285D" w:rsidP="00D0285D"/>
    <w:p w14:paraId="3291B99C" w14:textId="77777777" w:rsidR="00BA0806" w:rsidRPr="00D0285D" w:rsidRDefault="00BA0806" w:rsidP="00D0285D"/>
    <w:p w14:paraId="621B0489" w14:textId="4F6AC58B" w:rsidR="006C1831" w:rsidRDefault="006C1831" w:rsidP="0045392A">
      <w:pPr>
        <w:pStyle w:val="ListParagraph"/>
        <w:numPr>
          <w:ilvl w:val="0"/>
          <w:numId w:val="26"/>
        </w:numPr>
        <w:rPr>
          <w:b/>
          <w:bCs/>
        </w:rPr>
      </w:pPr>
      <w:r>
        <w:rPr>
          <w:b/>
          <w:bCs/>
        </w:rPr>
        <w:lastRenderedPageBreak/>
        <w:t xml:space="preserve">Women in </w:t>
      </w:r>
      <w:r w:rsidR="009633DD">
        <w:rPr>
          <w:b/>
          <w:bCs/>
        </w:rPr>
        <w:t xml:space="preserve">leadership positions </w:t>
      </w:r>
    </w:p>
    <w:p w14:paraId="60B249BE" w14:textId="153E8A38" w:rsidR="006E5559" w:rsidRDefault="0093401A" w:rsidP="001561B0">
      <w:pPr>
        <w:jc w:val="both"/>
      </w:pPr>
      <w:r w:rsidRPr="0093401A">
        <w:t xml:space="preserve">Through raising awareness </w:t>
      </w:r>
      <w:r w:rsidR="000B5893">
        <w:t xml:space="preserve">and engaging key board </w:t>
      </w:r>
      <w:r w:rsidR="00B53C89">
        <w:t xml:space="preserve">decision makers </w:t>
      </w:r>
      <w:r w:rsidRPr="0093401A">
        <w:t>o</w:t>
      </w:r>
      <w:r w:rsidR="005B306F">
        <w:t>n</w:t>
      </w:r>
      <w:r w:rsidRPr="0093401A">
        <w:t xml:space="preserve"> the importance of board diversity and working with stakeholders to develop a pipeline of board-ready women, the Council for Board Diversity (CBD) aims to jointly promote and achieve sustained increases in women’s representation on the boards of the top 100 companies listed on the Singapore Exchange (SGX), Statutory Boards, and top 100 Institutions of a Public Character (IPC). </w:t>
      </w:r>
    </w:p>
    <w:p w14:paraId="2C7B8CE6" w14:textId="62D76621" w:rsidR="0093401A" w:rsidRPr="0093401A" w:rsidRDefault="0093401A" w:rsidP="001561B0">
      <w:pPr>
        <w:jc w:val="both"/>
      </w:pPr>
      <w:r w:rsidRPr="0093401A">
        <w:t>The Government works with the CBD to achieve measurable targets to increase women’s representation on the boards of top 100 companies listed on the SGX to 25% by 2025 and 30% by 2030. CBD also set targets to increase women’s representation on the boards of the top 100 IPCs and Statutory Boards to 30% as soon as possible.</w:t>
      </w:r>
    </w:p>
    <w:p w14:paraId="7D8A78D2" w14:textId="776D9680" w:rsidR="004F4D4B" w:rsidRDefault="0093401A" w:rsidP="001561B0">
      <w:pPr>
        <w:jc w:val="both"/>
      </w:pPr>
      <w:r w:rsidRPr="0093401A">
        <w:t>In 2022, the SGX Listing Rules were also revised to require companies to disclose their board diversity policy, including gender diversity policy.</w:t>
      </w:r>
      <w:r w:rsidR="004F4D4B">
        <w:t xml:space="preserve"> </w:t>
      </w:r>
      <w:r w:rsidR="00321441">
        <w:t xml:space="preserve">This places </w:t>
      </w:r>
      <w:r w:rsidR="00257132">
        <w:t xml:space="preserve">emphasis on director tenures and diversity in board composition. </w:t>
      </w:r>
    </w:p>
    <w:p w14:paraId="5C7EF538" w14:textId="7F5C6900" w:rsidR="0093401A" w:rsidRDefault="004F4D4B" w:rsidP="001561B0">
      <w:pPr>
        <w:jc w:val="both"/>
      </w:pPr>
      <w:r w:rsidRPr="004F4D4B">
        <w:t xml:space="preserve">As </w:t>
      </w:r>
      <w:r w:rsidR="000E1D89">
        <w:t>of</w:t>
      </w:r>
      <w:r w:rsidR="000E1D89" w:rsidRPr="004F4D4B">
        <w:t xml:space="preserve"> </w:t>
      </w:r>
      <w:r w:rsidRPr="004F4D4B">
        <w:t xml:space="preserve">2023, </w:t>
      </w:r>
      <w:r w:rsidR="007379BD">
        <w:t xml:space="preserve">both </w:t>
      </w:r>
      <w:r w:rsidRPr="004F4D4B">
        <w:t xml:space="preserve">Statutory Boards </w:t>
      </w:r>
      <w:r w:rsidR="007379BD">
        <w:t xml:space="preserve">and top 100 IPCs </w:t>
      </w:r>
      <w:r w:rsidRPr="004F4D4B">
        <w:t xml:space="preserve">have exceeded the 30% target of women on boards. For the top 100 SGX-listed companies, the percentage of women on boards tripled from 7.5% in 2013 to </w:t>
      </w:r>
      <w:r w:rsidR="00817A16">
        <w:t xml:space="preserve">23.7% </w:t>
      </w:r>
      <w:r w:rsidR="00284D1C">
        <w:t>in 2023</w:t>
      </w:r>
      <w:r w:rsidRPr="004F4D4B">
        <w:t>, and is making headway towards the target of 25%</w:t>
      </w:r>
      <w:r w:rsidR="009A021E">
        <w:t xml:space="preserve"> (Table 10</w:t>
      </w:r>
      <w:r w:rsidR="00916FAF">
        <w:t>)</w:t>
      </w:r>
      <w:r w:rsidR="00580B00">
        <w:t>.</w:t>
      </w:r>
    </w:p>
    <w:p w14:paraId="0B9D7A50" w14:textId="40F2EAFE" w:rsidR="00580B00" w:rsidRPr="001A12D8" w:rsidRDefault="00580B00" w:rsidP="00580B00">
      <w:pPr>
        <w:rPr>
          <w:rFonts w:cstheme="minorHAnsi"/>
        </w:rPr>
      </w:pPr>
      <w:r w:rsidRPr="001A12D8">
        <w:rPr>
          <w:rFonts w:cstheme="minorHAnsi"/>
          <w:b/>
          <w:bCs/>
          <w:color w:val="000000"/>
        </w:rPr>
        <w:t xml:space="preserve">Table </w:t>
      </w:r>
      <w:r w:rsidR="00E227C1">
        <w:rPr>
          <w:rFonts w:cstheme="minorHAnsi"/>
          <w:b/>
          <w:bCs/>
          <w:color w:val="000000"/>
        </w:rPr>
        <w:t>10</w:t>
      </w:r>
      <w:r w:rsidRPr="001A12D8">
        <w:rPr>
          <w:rFonts w:cstheme="minorHAnsi"/>
          <w:b/>
          <w:bCs/>
          <w:color w:val="000000"/>
        </w:rPr>
        <w:t xml:space="preserve">: </w:t>
      </w:r>
      <w:r>
        <w:rPr>
          <w:rFonts w:cstheme="minorHAnsi"/>
          <w:b/>
          <w:bCs/>
          <w:color w:val="000000"/>
        </w:rPr>
        <w:t>Representation of Women on Boards (%)</w:t>
      </w:r>
    </w:p>
    <w:tbl>
      <w:tblPr>
        <w:tblW w:w="763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03"/>
        <w:gridCol w:w="1260"/>
        <w:gridCol w:w="1260"/>
        <w:gridCol w:w="1350"/>
      </w:tblGrid>
      <w:tr w:rsidR="00800E78" w:rsidRPr="001A12D8" w14:paraId="6BBEE944" w14:textId="77777777" w:rsidTr="003E502E">
        <w:trPr>
          <w:trHeight w:val="250"/>
        </w:trPr>
        <w:tc>
          <w:tcPr>
            <w:tcW w:w="2660" w:type="dxa"/>
          </w:tcPr>
          <w:p w14:paraId="336A034A" w14:textId="11EF88B4" w:rsidR="00640E8F" w:rsidRPr="001A12D8" w:rsidRDefault="00640E8F">
            <w:pPr>
              <w:autoSpaceDE w:val="0"/>
              <w:autoSpaceDN w:val="0"/>
              <w:adjustRightInd w:val="0"/>
              <w:spacing w:after="0" w:line="240" w:lineRule="auto"/>
              <w:rPr>
                <w:rFonts w:cstheme="minorHAnsi"/>
                <w:color w:val="000000"/>
              </w:rPr>
            </w:pPr>
          </w:p>
        </w:tc>
        <w:tc>
          <w:tcPr>
            <w:tcW w:w="1103" w:type="dxa"/>
          </w:tcPr>
          <w:p w14:paraId="2C26C339" w14:textId="23F85EFD" w:rsidR="00640E8F" w:rsidRDefault="00640E8F">
            <w:pPr>
              <w:autoSpaceDE w:val="0"/>
              <w:autoSpaceDN w:val="0"/>
              <w:adjustRightInd w:val="0"/>
              <w:spacing w:after="0" w:line="240" w:lineRule="auto"/>
              <w:rPr>
                <w:rFonts w:cstheme="minorHAnsi"/>
                <w:b/>
                <w:bCs/>
                <w:color w:val="000000"/>
              </w:rPr>
            </w:pPr>
            <w:r>
              <w:rPr>
                <w:rFonts w:cstheme="minorHAnsi"/>
                <w:b/>
                <w:bCs/>
                <w:color w:val="000000"/>
              </w:rPr>
              <w:t>2013</w:t>
            </w:r>
          </w:p>
        </w:tc>
        <w:tc>
          <w:tcPr>
            <w:tcW w:w="1260" w:type="dxa"/>
          </w:tcPr>
          <w:p w14:paraId="5DA69021" w14:textId="3266C881" w:rsidR="00640E8F" w:rsidRPr="001A12D8" w:rsidRDefault="00640E8F">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18</w:t>
            </w:r>
          </w:p>
        </w:tc>
        <w:tc>
          <w:tcPr>
            <w:tcW w:w="1260" w:type="dxa"/>
          </w:tcPr>
          <w:p w14:paraId="59F43A52" w14:textId="77777777" w:rsidR="00640E8F" w:rsidRPr="001A12D8" w:rsidRDefault="00640E8F">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2</w:t>
            </w:r>
            <w:r w:rsidRPr="001A12D8">
              <w:rPr>
                <w:rFonts w:cstheme="minorHAnsi"/>
                <w:b/>
                <w:bCs/>
                <w:color w:val="000000"/>
              </w:rPr>
              <w:t xml:space="preserve">0 </w:t>
            </w:r>
          </w:p>
        </w:tc>
        <w:tc>
          <w:tcPr>
            <w:tcW w:w="1350" w:type="dxa"/>
          </w:tcPr>
          <w:p w14:paraId="096E510E" w14:textId="422DF734" w:rsidR="00640E8F" w:rsidRPr="001A12D8" w:rsidRDefault="00640E8F">
            <w:pPr>
              <w:autoSpaceDE w:val="0"/>
              <w:autoSpaceDN w:val="0"/>
              <w:adjustRightInd w:val="0"/>
              <w:spacing w:after="0" w:line="240" w:lineRule="auto"/>
              <w:rPr>
                <w:rFonts w:cstheme="minorHAnsi"/>
                <w:color w:val="000000"/>
              </w:rPr>
            </w:pPr>
            <w:r>
              <w:rPr>
                <w:rFonts w:cstheme="minorHAnsi"/>
                <w:b/>
                <w:bCs/>
                <w:color w:val="000000"/>
              </w:rPr>
              <w:t>2023</w:t>
            </w:r>
            <w:r w:rsidRPr="001A12D8">
              <w:rPr>
                <w:rFonts w:cstheme="minorHAnsi"/>
                <w:b/>
                <w:bCs/>
                <w:color w:val="000000"/>
              </w:rPr>
              <w:t xml:space="preserve"> </w:t>
            </w:r>
          </w:p>
        </w:tc>
      </w:tr>
      <w:tr w:rsidR="00800E78" w:rsidRPr="001A12D8" w14:paraId="6D7BF81A" w14:textId="77777777" w:rsidTr="003E502E">
        <w:trPr>
          <w:trHeight w:val="112"/>
        </w:trPr>
        <w:tc>
          <w:tcPr>
            <w:tcW w:w="2660" w:type="dxa"/>
          </w:tcPr>
          <w:p w14:paraId="1607B9F6" w14:textId="4451A18E"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Top 100 Companies listed on SGX</w:t>
            </w:r>
          </w:p>
        </w:tc>
        <w:tc>
          <w:tcPr>
            <w:tcW w:w="1103" w:type="dxa"/>
          </w:tcPr>
          <w:p w14:paraId="219147B7" w14:textId="662BF528" w:rsidR="00640E8F" w:rsidRDefault="00640E8F">
            <w:pPr>
              <w:autoSpaceDE w:val="0"/>
              <w:autoSpaceDN w:val="0"/>
              <w:adjustRightInd w:val="0"/>
              <w:spacing w:after="0" w:line="240" w:lineRule="auto"/>
              <w:rPr>
                <w:rFonts w:cstheme="minorHAnsi"/>
                <w:color w:val="000000"/>
              </w:rPr>
            </w:pPr>
            <w:r>
              <w:rPr>
                <w:rFonts w:cstheme="minorHAnsi"/>
                <w:color w:val="000000"/>
              </w:rPr>
              <w:t>7.5</w:t>
            </w:r>
            <w:r w:rsidR="007E2247">
              <w:rPr>
                <w:rFonts w:cstheme="minorHAnsi"/>
                <w:b/>
                <w:bCs/>
                <w:color w:val="000000"/>
              </w:rPr>
              <w:t>%</w:t>
            </w:r>
          </w:p>
        </w:tc>
        <w:tc>
          <w:tcPr>
            <w:tcW w:w="1260" w:type="dxa"/>
          </w:tcPr>
          <w:p w14:paraId="5E6D3E8D" w14:textId="3F68F83E"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15.3</w:t>
            </w:r>
            <w:r w:rsidR="007E2247">
              <w:rPr>
                <w:rFonts w:cstheme="minorHAnsi"/>
                <w:b/>
                <w:bCs/>
                <w:color w:val="000000"/>
              </w:rPr>
              <w:t>%</w:t>
            </w:r>
          </w:p>
        </w:tc>
        <w:tc>
          <w:tcPr>
            <w:tcW w:w="1260" w:type="dxa"/>
          </w:tcPr>
          <w:p w14:paraId="2005A148" w14:textId="6929C5FE"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17.7</w:t>
            </w:r>
            <w:r w:rsidR="007E2247">
              <w:rPr>
                <w:rFonts w:cstheme="minorHAnsi"/>
                <w:b/>
                <w:bCs/>
                <w:color w:val="000000"/>
              </w:rPr>
              <w:t>%</w:t>
            </w:r>
          </w:p>
        </w:tc>
        <w:tc>
          <w:tcPr>
            <w:tcW w:w="1350" w:type="dxa"/>
          </w:tcPr>
          <w:p w14:paraId="13091CE1" w14:textId="125EEE2D"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23.7</w:t>
            </w:r>
            <w:r w:rsidR="007E2247">
              <w:rPr>
                <w:rFonts w:cstheme="minorHAnsi"/>
                <w:b/>
                <w:bCs/>
                <w:color w:val="000000"/>
              </w:rPr>
              <w:t>%</w:t>
            </w:r>
          </w:p>
        </w:tc>
      </w:tr>
      <w:tr w:rsidR="00695371" w:rsidRPr="001A12D8" w14:paraId="6A8D2E05" w14:textId="77777777" w:rsidTr="003E502E">
        <w:trPr>
          <w:trHeight w:val="250"/>
        </w:trPr>
        <w:tc>
          <w:tcPr>
            <w:tcW w:w="2660" w:type="dxa"/>
          </w:tcPr>
          <w:p w14:paraId="47E9DD6E" w14:textId="27615E4B"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Statutory Boards</w:t>
            </w:r>
          </w:p>
        </w:tc>
        <w:tc>
          <w:tcPr>
            <w:tcW w:w="1103" w:type="dxa"/>
            <w:shd w:val="clear" w:color="auto" w:fill="D0CECE" w:themeFill="background2" w:themeFillShade="E6"/>
          </w:tcPr>
          <w:p w14:paraId="29DA4832" w14:textId="77777777" w:rsidR="00640E8F" w:rsidRDefault="00640E8F">
            <w:pPr>
              <w:autoSpaceDE w:val="0"/>
              <w:autoSpaceDN w:val="0"/>
              <w:adjustRightInd w:val="0"/>
              <w:spacing w:after="0" w:line="240" w:lineRule="auto"/>
              <w:rPr>
                <w:rFonts w:cstheme="minorHAnsi"/>
                <w:color w:val="000000"/>
              </w:rPr>
            </w:pPr>
          </w:p>
        </w:tc>
        <w:tc>
          <w:tcPr>
            <w:tcW w:w="1260" w:type="dxa"/>
          </w:tcPr>
          <w:p w14:paraId="4F674518" w14:textId="39082DE7"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23.3</w:t>
            </w:r>
            <w:r w:rsidR="007E2247">
              <w:rPr>
                <w:rFonts w:cstheme="minorHAnsi"/>
                <w:b/>
                <w:bCs/>
                <w:color w:val="000000"/>
              </w:rPr>
              <w:t>%</w:t>
            </w:r>
          </w:p>
        </w:tc>
        <w:tc>
          <w:tcPr>
            <w:tcW w:w="1260" w:type="dxa"/>
          </w:tcPr>
          <w:p w14:paraId="47D2928B" w14:textId="029D9A49"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27.5</w:t>
            </w:r>
            <w:r w:rsidR="007E2247">
              <w:rPr>
                <w:rFonts w:cstheme="minorHAnsi"/>
                <w:b/>
                <w:bCs/>
                <w:color w:val="000000"/>
              </w:rPr>
              <w:t>%</w:t>
            </w:r>
          </w:p>
        </w:tc>
        <w:tc>
          <w:tcPr>
            <w:tcW w:w="1350" w:type="dxa"/>
          </w:tcPr>
          <w:p w14:paraId="744CBCC1" w14:textId="1C58B686"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32.7</w:t>
            </w:r>
            <w:r w:rsidR="007E2247">
              <w:rPr>
                <w:rFonts w:cstheme="minorHAnsi"/>
                <w:b/>
                <w:bCs/>
                <w:color w:val="000000"/>
              </w:rPr>
              <w:t>%</w:t>
            </w:r>
          </w:p>
        </w:tc>
      </w:tr>
      <w:tr w:rsidR="00695371" w:rsidRPr="001A12D8" w14:paraId="547CBE04" w14:textId="77777777" w:rsidTr="003E502E">
        <w:trPr>
          <w:trHeight w:val="250"/>
        </w:trPr>
        <w:tc>
          <w:tcPr>
            <w:tcW w:w="2660" w:type="dxa"/>
          </w:tcPr>
          <w:p w14:paraId="58F74884" w14:textId="1969B74D" w:rsidR="00640E8F" w:rsidRPr="001A12D8" w:rsidRDefault="00640E8F">
            <w:pPr>
              <w:autoSpaceDE w:val="0"/>
              <w:autoSpaceDN w:val="0"/>
              <w:adjustRightInd w:val="0"/>
              <w:spacing w:after="0" w:line="240" w:lineRule="auto"/>
              <w:rPr>
                <w:rFonts w:cstheme="minorHAnsi"/>
                <w:color w:val="000000"/>
              </w:rPr>
            </w:pPr>
            <w:r>
              <w:rPr>
                <w:rFonts w:cstheme="minorHAnsi"/>
                <w:color w:val="000000"/>
              </w:rPr>
              <w:t>Top 100 IPCs</w:t>
            </w:r>
          </w:p>
        </w:tc>
        <w:tc>
          <w:tcPr>
            <w:tcW w:w="1103" w:type="dxa"/>
            <w:shd w:val="clear" w:color="auto" w:fill="D0CECE" w:themeFill="background2" w:themeFillShade="E6"/>
          </w:tcPr>
          <w:p w14:paraId="26DD5A34" w14:textId="77777777" w:rsidR="00640E8F" w:rsidRDefault="00640E8F">
            <w:pPr>
              <w:autoSpaceDE w:val="0"/>
              <w:autoSpaceDN w:val="0"/>
              <w:adjustRightInd w:val="0"/>
              <w:spacing w:after="0" w:line="240" w:lineRule="auto"/>
              <w:rPr>
                <w:rFonts w:cstheme="minorHAnsi"/>
                <w:color w:val="000000"/>
              </w:rPr>
            </w:pPr>
          </w:p>
        </w:tc>
        <w:tc>
          <w:tcPr>
            <w:tcW w:w="1260" w:type="dxa"/>
          </w:tcPr>
          <w:p w14:paraId="703582AD" w14:textId="09D5C66C" w:rsidR="00640E8F" w:rsidRPr="007A49B1" w:rsidRDefault="00640E8F">
            <w:pPr>
              <w:autoSpaceDE w:val="0"/>
              <w:autoSpaceDN w:val="0"/>
              <w:adjustRightInd w:val="0"/>
              <w:spacing w:after="0" w:line="240" w:lineRule="auto"/>
              <w:rPr>
                <w:rFonts w:cstheme="minorHAnsi"/>
                <w:color w:val="000000"/>
              </w:rPr>
            </w:pPr>
            <w:r>
              <w:rPr>
                <w:rFonts w:cstheme="minorHAnsi"/>
                <w:color w:val="000000"/>
              </w:rPr>
              <w:t>27.6</w:t>
            </w:r>
            <w:r w:rsidR="007E2247">
              <w:rPr>
                <w:rFonts w:cstheme="minorHAnsi"/>
                <w:b/>
                <w:bCs/>
                <w:color w:val="000000"/>
              </w:rPr>
              <w:t>%</w:t>
            </w:r>
          </w:p>
        </w:tc>
        <w:tc>
          <w:tcPr>
            <w:tcW w:w="1260" w:type="dxa"/>
          </w:tcPr>
          <w:p w14:paraId="4FE3087B" w14:textId="7334A368" w:rsidR="00640E8F" w:rsidRPr="007A49B1" w:rsidRDefault="00640E8F">
            <w:pPr>
              <w:autoSpaceDE w:val="0"/>
              <w:autoSpaceDN w:val="0"/>
              <w:adjustRightInd w:val="0"/>
              <w:spacing w:after="0" w:line="240" w:lineRule="auto"/>
              <w:rPr>
                <w:rFonts w:cstheme="minorHAnsi"/>
                <w:color w:val="000000"/>
              </w:rPr>
            </w:pPr>
            <w:r>
              <w:rPr>
                <w:rFonts w:cstheme="minorHAnsi"/>
                <w:color w:val="000000"/>
              </w:rPr>
              <w:t>29.0</w:t>
            </w:r>
            <w:r w:rsidR="007E2247">
              <w:rPr>
                <w:rFonts w:cstheme="minorHAnsi"/>
                <w:b/>
                <w:bCs/>
                <w:color w:val="000000"/>
              </w:rPr>
              <w:t>%</w:t>
            </w:r>
          </w:p>
        </w:tc>
        <w:tc>
          <w:tcPr>
            <w:tcW w:w="1350" w:type="dxa"/>
          </w:tcPr>
          <w:p w14:paraId="53C9243C" w14:textId="456DB229" w:rsidR="00640E8F" w:rsidRPr="007A49B1" w:rsidRDefault="00640E8F">
            <w:pPr>
              <w:autoSpaceDE w:val="0"/>
              <w:autoSpaceDN w:val="0"/>
              <w:adjustRightInd w:val="0"/>
              <w:spacing w:after="0" w:line="240" w:lineRule="auto"/>
              <w:rPr>
                <w:rFonts w:cstheme="minorHAnsi"/>
                <w:color w:val="000000"/>
              </w:rPr>
            </w:pPr>
            <w:r>
              <w:rPr>
                <w:rFonts w:cstheme="minorHAnsi"/>
                <w:color w:val="000000"/>
              </w:rPr>
              <w:t>31.0</w:t>
            </w:r>
            <w:r w:rsidR="007E2247">
              <w:rPr>
                <w:rFonts w:cstheme="minorHAnsi"/>
                <w:b/>
                <w:bCs/>
                <w:color w:val="000000"/>
              </w:rPr>
              <w:t>%</w:t>
            </w:r>
          </w:p>
        </w:tc>
      </w:tr>
    </w:tbl>
    <w:p w14:paraId="5B33A3D5" w14:textId="42700052" w:rsidR="00580B00" w:rsidRDefault="00031C75" w:rsidP="0093401A">
      <w:pPr>
        <w:rPr>
          <w:sz w:val="20"/>
          <w:szCs w:val="20"/>
        </w:rPr>
      </w:pPr>
      <w:r w:rsidRPr="00031C75">
        <w:rPr>
          <w:sz w:val="20"/>
          <w:szCs w:val="20"/>
        </w:rPr>
        <w:t>Source: Council for Board Diversity</w:t>
      </w:r>
    </w:p>
    <w:p w14:paraId="51F3B449" w14:textId="26E14A96" w:rsidR="00010CC6" w:rsidRPr="00001C24" w:rsidRDefault="00010CC6" w:rsidP="00001C24">
      <w:pPr>
        <w:rPr>
          <w:sz w:val="20"/>
          <w:szCs w:val="20"/>
        </w:rPr>
      </w:pPr>
      <w:r w:rsidRPr="001561B0">
        <w:rPr>
          <w:i/>
          <w:iCs/>
          <w:sz w:val="20"/>
          <w:szCs w:val="20"/>
        </w:rPr>
        <w:t xml:space="preserve">Note: </w:t>
      </w:r>
      <w:r w:rsidR="009441C3" w:rsidRPr="009441C3">
        <w:rPr>
          <w:i/>
          <w:iCs/>
          <w:sz w:val="20"/>
          <w:szCs w:val="20"/>
        </w:rPr>
        <w:t xml:space="preserve">Data collection by </w:t>
      </w:r>
      <w:r w:rsidR="00D4080A">
        <w:rPr>
          <w:i/>
          <w:iCs/>
          <w:sz w:val="20"/>
          <w:szCs w:val="20"/>
        </w:rPr>
        <w:t>the CBD</w:t>
      </w:r>
      <w:r w:rsidR="009441C3" w:rsidRPr="009441C3">
        <w:rPr>
          <w:i/>
          <w:iCs/>
          <w:sz w:val="20"/>
          <w:szCs w:val="20"/>
        </w:rPr>
        <w:t xml:space="preserve"> on percentage of women on the boards of Statutory Boards and top 100 IPCs commenced in 2018.</w:t>
      </w:r>
    </w:p>
    <w:p w14:paraId="069243D9" w14:textId="0C8C262F" w:rsidR="00FA43BE" w:rsidRDefault="00484578" w:rsidP="00001C24">
      <w:pPr>
        <w:jc w:val="both"/>
      </w:pPr>
      <w:r>
        <w:t>M</w:t>
      </w:r>
      <w:r w:rsidR="004D7B3D">
        <w:t>ore women are being appointed to board leadership roles</w:t>
      </w:r>
      <w:r w:rsidR="00EC797F">
        <w:t xml:space="preserve"> (Table 11)</w:t>
      </w:r>
      <w:r w:rsidR="004D7B3D">
        <w:t xml:space="preserve">. </w:t>
      </w:r>
      <w:r w:rsidR="0082543D">
        <w:t>This helps to dispel notions</w:t>
      </w:r>
      <w:r w:rsidR="00F05A0D">
        <w:t xml:space="preserve"> of tokenism</w:t>
      </w:r>
      <w:r w:rsidR="00D040A4">
        <w:t>, as boards appoint the most-suited candidate with the requisite competencies for leadership, regardless of gender.</w:t>
      </w:r>
      <w:r w:rsidR="0082543D">
        <w:t xml:space="preserve"> </w:t>
      </w:r>
    </w:p>
    <w:p w14:paraId="1A24480A" w14:textId="0EE2613B" w:rsidR="00371EC2" w:rsidRPr="001A12D8" w:rsidRDefault="00371EC2" w:rsidP="00371EC2">
      <w:pPr>
        <w:rPr>
          <w:rFonts w:cstheme="minorHAnsi"/>
        </w:rPr>
      </w:pPr>
      <w:r w:rsidRPr="001A12D8">
        <w:rPr>
          <w:rFonts w:cstheme="minorHAnsi"/>
          <w:b/>
          <w:bCs/>
          <w:color w:val="000000"/>
        </w:rPr>
        <w:t xml:space="preserve">Table </w:t>
      </w:r>
      <w:r w:rsidR="00E227C1">
        <w:rPr>
          <w:rFonts w:cstheme="minorHAnsi"/>
          <w:b/>
          <w:bCs/>
          <w:color w:val="000000"/>
        </w:rPr>
        <w:t>11</w:t>
      </w:r>
      <w:r w:rsidRPr="001A12D8">
        <w:rPr>
          <w:rFonts w:cstheme="minorHAnsi"/>
          <w:b/>
          <w:bCs/>
          <w:color w:val="000000"/>
        </w:rPr>
        <w:t xml:space="preserve">: </w:t>
      </w:r>
      <w:r>
        <w:rPr>
          <w:rFonts w:cstheme="minorHAnsi"/>
          <w:b/>
          <w:bCs/>
          <w:color w:val="000000"/>
        </w:rPr>
        <w:t>Women in Board Leadership Roles (%)</w:t>
      </w:r>
    </w:p>
    <w:tbl>
      <w:tblPr>
        <w:tblW w:w="52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8"/>
        <w:gridCol w:w="1037"/>
        <w:gridCol w:w="1037"/>
      </w:tblGrid>
      <w:tr w:rsidR="00763A8B" w:rsidRPr="001A12D8" w14:paraId="37C14C4D" w14:textId="77777777" w:rsidTr="00FD7433">
        <w:trPr>
          <w:trHeight w:val="250"/>
        </w:trPr>
        <w:tc>
          <w:tcPr>
            <w:tcW w:w="3138" w:type="dxa"/>
          </w:tcPr>
          <w:p w14:paraId="7CEC5E7A" w14:textId="77777777" w:rsidR="00371EC2" w:rsidRPr="001A12D8" w:rsidRDefault="00371EC2">
            <w:pPr>
              <w:autoSpaceDE w:val="0"/>
              <w:autoSpaceDN w:val="0"/>
              <w:adjustRightInd w:val="0"/>
              <w:spacing w:after="0" w:line="240" w:lineRule="auto"/>
              <w:rPr>
                <w:rFonts w:cstheme="minorHAnsi"/>
                <w:color w:val="000000"/>
              </w:rPr>
            </w:pPr>
          </w:p>
        </w:tc>
        <w:tc>
          <w:tcPr>
            <w:tcW w:w="1037" w:type="dxa"/>
          </w:tcPr>
          <w:p w14:paraId="12F16D07" w14:textId="5F2822D5" w:rsidR="00371EC2" w:rsidRPr="001A12D8" w:rsidRDefault="00371EC2">
            <w:pPr>
              <w:autoSpaceDE w:val="0"/>
              <w:autoSpaceDN w:val="0"/>
              <w:adjustRightInd w:val="0"/>
              <w:spacing w:after="0" w:line="240" w:lineRule="auto"/>
              <w:rPr>
                <w:rFonts w:cstheme="minorHAnsi"/>
                <w:b/>
                <w:bCs/>
                <w:color w:val="000000"/>
              </w:rPr>
            </w:pPr>
            <w:r>
              <w:rPr>
                <w:rFonts w:cstheme="minorHAnsi"/>
                <w:b/>
                <w:bCs/>
                <w:color w:val="000000"/>
              </w:rPr>
              <w:t>2018</w:t>
            </w:r>
          </w:p>
        </w:tc>
        <w:tc>
          <w:tcPr>
            <w:tcW w:w="1037" w:type="dxa"/>
          </w:tcPr>
          <w:p w14:paraId="52F05F03" w14:textId="089CC8B0" w:rsidR="00371EC2" w:rsidRPr="001A12D8" w:rsidRDefault="00371EC2">
            <w:pPr>
              <w:autoSpaceDE w:val="0"/>
              <w:autoSpaceDN w:val="0"/>
              <w:adjustRightInd w:val="0"/>
              <w:spacing w:after="0" w:line="240" w:lineRule="auto"/>
              <w:rPr>
                <w:rFonts w:cstheme="minorHAnsi"/>
                <w:color w:val="000000"/>
              </w:rPr>
            </w:pPr>
            <w:r w:rsidRPr="001A12D8">
              <w:rPr>
                <w:rFonts w:cstheme="minorHAnsi"/>
                <w:b/>
                <w:bCs/>
                <w:color w:val="000000"/>
              </w:rPr>
              <w:t>20</w:t>
            </w:r>
            <w:r>
              <w:rPr>
                <w:rFonts w:cstheme="minorHAnsi"/>
                <w:b/>
                <w:bCs/>
                <w:color w:val="000000"/>
              </w:rPr>
              <w:t>23</w:t>
            </w:r>
          </w:p>
        </w:tc>
      </w:tr>
      <w:tr w:rsidR="00763A8B" w:rsidRPr="001A12D8" w14:paraId="59153176" w14:textId="77777777" w:rsidTr="00FD7433">
        <w:trPr>
          <w:trHeight w:val="112"/>
        </w:trPr>
        <w:tc>
          <w:tcPr>
            <w:tcW w:w="3138" w:type="dxa"/>
          </w:tcPr>
          <w:p w14:paraId="0D98F327" w14:textId="1DEF1124" w:rsidR="00371EC2" w:rsidRPr="001A12D8" w:rsidRDefault="00371EC2">
            <w:pPr>
              <w:autoSpaceDE w:val="0"/>
              <w:autoSpaceDN w:val="0"/>
              <w:adjustRightInd w:val="0"/>
              <w:spacing w:after="0" w:line="240" w:lineRule="auto"/>
              <w:rPr>
                <w:rFonts w:cstheme="minorHAnsi"/>
                <w:color w:val="000000"/>
              </w:rPr>
            </w:pPr>
            <w:r>
              <w:rPr>
                <w:rFonts w:cstheme="minorHAnsi"/>
                <w:color w:val="000000"/>
              </w:rPr>
              <w:t>Top 100 Companies listed on SGX</w:t>
            </w:r>
            <w:r w:rsidR="006B51F7">
              <w:rPr>
                <w:rFonts w:cstheme="minorHAnsi"/>
                <w:color w:val="000000"/>
              </w:rPr>
              <w:t xml:space="preserve"> (% board leadership positions held by women)</w:t>
            </w:r>
          </w:p>
        </w:tc>
        <w:tc>
          <w:tcPr>
            <w:tcW w:w="1037" w:type="dxa"/>
          </w:tcPr>
          <w:p w14:paraId="3FB4D617" w14:textId="5EE3F05D" w:rsidR="00371EC2" w:rsidRDefault="00371EC2">
            <w:pPr>
              <w:autoSpaceDE w:val="0"/>
              <w:autoSpaceDN w:val="0"/>
              <w:adjustRightInd w:val="0"/>
              <w:spacing w:after="0" w:line="240" w:lineRule="auto"/>
              <w:rPr>
                <w:rFonts w:cstheme="minorHAnsi"/>
                <w:color w:val="000000"/>
              </w:rPr>
            </w:pPr>
            <w:r>
              <w:rPr>
                <w:rFonts w:cstheme="minorHAnsi"/>
                <w:color w:val="000000"/>
              </w:rPr>
              <w:t>9</w:t>
            </w:r>
            <w:r w:rsidR="007E2247">
              <w:rPr>
                <w:rFonts w:cstheme="minorHAnsi"/>
                <w:b/>
                <w:bCs/>
                <w:color w:val="000000"/>
              </w:rPr>
              <w:t>%</w:t>
            </w:r>
          </w:p>
        </w:tc>
        <w:tc>
          <w:tcPr>
            <w:tcW w:w="1037" w:type="dxa"/>
          </w:tcPr>
          <w:p w14:paraId="17860FAB" w14:textId="768C52AD" w:rsidR="00371EC2" w:rsidRPr="001A12D8" w:rsidRDefault="00371EC2">
            <w:pPr>
              <w:autoSpaceDE w:val="0"/>
              <w:autoSpaceDN w:val="0"/>
              <w:adjustRightInd w:val="0"/>
              <w:spacing w:after="0" w:line="240" w:lineRule="auto"/>
              <w:rPr>
                <w:rFonts w:cstheme="minorHAnsi"/>
                <w:color w:val="000000"/>
              </w:rPr>
            </w:pPr>
            <w:r>
              <w:rPr>
                <w:rFonts w:cstheme="minorHAnsi"/>
                <w:color w:val="000000"/>
              </w:rPr>
              <w:t>17</w:t>
            </w:r>
            <w:r w:rsidR="007E2247">
              <w:rPr>
                <w:rFonts w:cstheme="minorHAnsi"/>
                <w:b/>
                <w:bCs/>
                <w:color w:val="000000"/>
              </w:rPr>
              <w:t>%</w:t>
            </w:r>
          </w:p>
        </w:tc>
      </w:tr>
      <w:tr w:rsidR="00763A8B" w:rsidRPr="001A12D8" w14:paraId="3692052B" w14:textId="77777777" w:rsidTr="00C577CF">
        <w:trPr>
          <w:trHeight w:val="250"/>
        </w:trPr>
        <w:tc>
          <w:tcPr>
            <w:tcW w:w="3138" w:type="dxa"/>
            <w:shd w:val="clear" w:color="auto" w:fill="auto"/>
          </w:tcPr>
          <w:p w14:paraId="2FC056C6" w14:textId="3E2DEB0E" w:rsidR="00371EC2" w:rsidRPr="001A12D8" w:rsidRDefault="00371EC2">
            <w:pPr>
              <w:autoSpaceDE w:val="0"/>
              <w:autoSpaceDN w:val="0"/>
              <w:adjustRightInd w:val="0"/>
              <w:spacing w:after="0" w:line="240" w:lineRule="auto"/>
              <w:rPr>
                <w:rFonts w:cstheme="minorHAnsi"/>
                <w:color w:val="000000"/>
              </w:rPr>
            </w:pPr>
            <w:r>
              <w:rPr>
                <w:rFonts w:cstheme="minorHAnsi"/>
                <w:color w:val="000000"/>
              </w:rPr>
              <w:t>Statutory Boards</w:t>
            </w:r>
            <w:r w:rsidR="00611300">
              <w:rPr>
                <w:rFonts w:cstheme="minorHAnsi"/>
                <w:color w:val="000000"/>
              </w:rPr>
              <w:t xml:space="preserve"> (% women board chairs)</w:t>
            </w:r>
          </w:p>
        </w:tc>
        <w:tc>
          <w:tcPr>
            <w:tcW w:w="1037" w:type="dxa"/>
            <w:shd w:val="clear" w:color="auto" w:fill="auto"/>
          </w:tcPr>
          <w:p w14:paraId="00CDAB45" w14:textId="69890C94" w:rsidR="00371EC2" w:rsidRDefault="00826B53">
            <w:pPr>
              <w:autoSpaceDE w:val="0"/>
              <w:autoSpaceDN w:val="0"/>
              <w:adjustRightInd w:val="0"/>
              <w:spacing w:after="0" w:line="240" w:lineRule="auto"/>
              <w:rPr>
                <w:rFonts w:cstheme="minorHAnsi"/>
                <w:color w:val="000000"/>
              </w:rPr>
            </w:pPr>
            <w:r>
              <w:rPr>
                <w:rFonts w:cstheme="minorHAnsi"/>
                <w:color w:val="000000"/>
              </w:rPr>
              <w:t>16</w:t>
            </w:r>
            <w:r w:rsidR="007E2247">
              <w:rPr>
                <w:rFonts w:cstheme="minorHAnsi"/>
                <w:b/>
                <w:bCs/>
                <w:color w:val="000000"/>
              </w:rPr>
              <w:t>%</w:t>
            </w:r>
          </w:p>
        </w:tc>
        <w:tc>
          <w:tcPr>
            <w:tcW w:w="1037" w:type="dxa"/>
            <w:shd w:val="clear" w:color="auto" w:fill="auto"/>
          </w:tcPr>
          <w:p w14:paraId="6D303886" w14:textId="6A2A5F06" w:rsidR="00371EC2" w:rsidRPr="001A12D8" w:rsidRDefault="00826B53">
            <w:pPr>
              <w:autoSpaceDE w:val="0"/>
              <w:autoSpaceDN w:val="0"/>
              <w:adjustRightInd w:val="0"/>
              <w:spacing w:after="0" w:line="240" w:lineRule="auto"/>
              <w:rPr>
                <w:rFonts w:cstheme="minorHAnsi"/>
                <w:color w:val="000000"/>
              </w:rPr>
            </w:pPr>
            <w:r>
              <w:rPr>
                <w:rFonts w:cstheme="minorHAnsi"/>
                <w:color w:val="000000"/>
              </w:rPr>
              <w:t>20</w:t>
            </w:r>
            <w:r w:rsidR="007E2247">
              <w:rPr>
                <w:rFonts w:cstheme="minorHAnsi"/>
                <w:b/>
                <w:bCs/>
                <w:color w:val="000000"/>
              </w:rPr>
              <w:t>%</w:t>
            </w:r>
          </w:p>
        </w:tc>
      </w:tr>
      <w:tr w:rsidR="00763A8B" w:rsidRPr="001A12D8" w14:paraId="322B2E20" w14:textId="77777777" w:rsidTr="00C577CF">
        <w:trPr>
          <w:trHeight w:val="250"/>
        </w:trPr>
        <w:tc>
          <w:tcPr>
            <w:tcW w:w="3138" w:type="dxa"/>
            <w:shd w:val="clear" w:color="auto" w:fill="auto"/>
          </w:tcPr>
          <w:p w14:paraId="6DF5714D" w14:textId="6B5AB7AE" w:rsidR="00371EC2" w:rsidRPr="001A12D8" w:rsidRDefault="00371EC2">
            <w:pPr>
              <w:autoSpaceDE w:val="0"/>
              <w:autoSpaceDN w:val="0"/>
              <w:adjustRightInd w:val="0"/>
              <w:spacing w:after="0" w:line="240" w:lineRule="auto"/>
              <w:rPr>
                <w:rFonts w:cstheme="minorHAnsi"/>
                <w:color w:val="000000"/>
              </w:rPr>
            </w:pPr>
            <w:r>
              <w:rPr>
                <w:rFonts w:cstheme="minorHAnsi"/>
                <w:color w:val="000000"/>
              </w:rPr>
              <w:t>Top 100 IPCs</w:t>
            </w:r>
            <w:r w:rsidR="00611300">
              <w:rPr>
                <w:rFonts w:cstheme="minorHAnsi"/>
                <w:color w:val="000000"/>
              </w:rPr>
              <w:t xml:space="preserve"> (% chaired by women)</w:t>
            </w:r>
          </w:p>
        </w:tc>
        <w:tc>
          <w:tcPr>
            <w:tcW w:w="1037" w:type="dxa"/>
            <w:shd w:val="clear" w:color="auto" w:fill="auto"/>
          </w:tcPr>
          <w:p w14:paraId="7C088FAE" w14:textId="49B48014" w:rsidR="00371EC2" w:rsidRDefault="00826B53">
            <w:pPr>
              <w:autoSpaceDE w:val="0"/>
              <w:autoSpaceDN w:val="0"/>
              <w:adjustRightInd w:val="0"/>
              <w:spacing w:after="0" w:line="240" w:lineRule="auto"/>
              <w:rPr>
                <w:rFonts w:cstheme="minorHAnsi"/>
                <w:color w:val="000000"/>
              </w:rPr>
            </w:pPr>
            <w:r>
              <w:rPr>
                <w:rFonts w:cstheme="minorHAnsi"/>
                <w:color w:val="000000"/>
              </w:rPr>
              <w:t>15</w:t>
            </w:r>
            <w:r w:rsidR="007E2247">
              <w:rPr>
                <w:rFonts w:cstheme="minorHAnsi"/>
                <w:b/>
                <w:bCs/>
                <w:color w:val="000000"/>
              </w:rPr>
              <w:t>%</w:t>
            </w:r>
          </w:p>
        </w:tc>
        <w:tc>
          <w:tcPr>
            <w:tcW w:w="1037" w:type="dxa"/>
            <w:shd w:val="clear" w:color="auto" w:fill="auto"/>
          </w:tcPr>
          <w:p w14:paraId="6F7CF806" w14:textId="2CA251D7" w:rsidR="00371EC2" w:rsidRPr="007A49B1" w:rsidRDefault="00826B53">
            <w:pPr>
              <w:autoSpaceDE w:val="0"/>
              <w:autoSpaceDN w:val="0"/>
              <w:adjustRightInd w:val="0"/>
              <w:spacing w:after="0" w:line="240" w:lineRule="auto"/>
              <w:rPr>
                <w:rFonts w:cstheme="minorHAnsi"/>
                <w:color w:val="000000"/>
              </w:rPr>
            </w:pPr>
            <w:r>
              <w:rPr>
                <w:rFonts w:cstheme="minorHAnsi"/>
                <w:color w:val="000000"/>
              </w:rPr>
              <w:t>19</w:t>
            </w:r>
            <w:r w:rsidR="007E2247">
              <w:rPr>
                <w:rFonts w:cstheme="minorHAnsi"/>
                <w:b/>
                <w:bCs/>
                <w:color w:val="000000"/>
              </w:rPr>
              <w:t>%</w:t>
            </w:r>
          </w:p>
        </w:tc>
      </w:tr>
    </w:tbl>
    <w:p w14:paraId="4EEE08E9" w14:textId="77777777" w:rsidR="008E6658" w:rsidRDefault="008E6658" w:rsidP="008E6658">
      <w:pPr>
        <w:rPr>
          <w:sz w:val="20"/>
          <w:szCs w:val="20"/>
        </w:rPr>
      </w:pPr>
      <w:r w:rsidRPr="00031C75">
        <w:rPr>
          <w:sz w:val="20"/>
          <w:szCs w:val="20"/>
        </w:rPr>
        <w:t>Source: Council for Board Diversity</w:t>
      </w:r>
    </w:p>
    <w:p w14:paraId="46190348" w14:textId="291ACBD0" w:rsidR="0011048E" w:rsidRPr="00001C24" w:rsidRDefault="00484578" w:rsidP="00001C24">
      <w:pPr>
        <w:jc w:val="both"/>
        <w:rPr>
          <w:rFonts w:eastAsia="Times New Roman"/>
        </w:rPr>
      </w:pPr>
      <w:r>
        <w:lastRenderedPageBreak/>
        <w:t xml:space="preserve">Furthermore, </w:t>
      </w:r>
      <w:r w:rsidR="00D8156D">
        <w:rPr>
          <w:rFonts w:eastAsia="Times New Roman"/>
        </w:rPr>
        <w:t>more women appointed to company boards are first-time-directors</w:t>
      </w:r>
      <w:r w:rsidR="0027356D">
        <w:rPr>
          <w:rFonts w:eastAsia="Times New Roman"/>
        </w:rPr>
        <w:t xml:space="preserve">. For instance, </w:t>
      </w:r>
      <w:r w:rsidR="006F1400">
        <w:rPr>
          <w:rFonts w:eastAsia="Times New Roman"/>
        </w:rPr>
        <w:t xml:space="preserve">nearly three-quarters (74%) of all women </w:t>
      </w:r>
      <w:r w:rsidR="00CF64FF">
        <w:rPr>
          <w:rFonts w:eastAsia="Times New Roman"/>
        </w:rPr>
        <w:t>who embarked on</w:t>
      </w:r>
      <w:r w:rsidR="00CF7593">
        <w:rPr>
          <w:rFonts w:eastAsia="Times New Roman"/>
        </w:rPr>
        <w:t xml:space="preserve"> </w:t>
      </w:r>
      <w:r w:rsidR="00CF64FF">
        <w:rPr>
          <w:rFonts w:eastAsia="Times New Roman"/>
        </w:rPr>
        <w:t xml:space="preserve">a new board position at a </w:t>
      </w:r>
      <w:r w:rsidR="00CF7593">
        <w:rPr>
          <w:rFonts w:eastAsia="Times New Roman"/>
        </w:rPr>
        <w:t xml:space="preserve">Top 100 company in 2023 were first-time directors, </w:t>
      </w:r>
      <w:r w:rsidR="00E81002">
        <w:rPr>
          <w:rFonts w:eastAsia="Times New Roman"/>
        </w:rPr>
        <w:t xml:space="preserve">an increase </w:t>
      </w:r>
      <w:r w:rsidR="00CF7593">
        <w:rPr>
          <w:rFonts w:eastAsia="Times New Roman"/>
        </w:rPr>
        <w:t xml:space="preserve">compared to </w:t>
      </w:r>
      <w:r w:rsidR="00E81002">
        <w:rPr>
          <w:rFonts w:eastAsia="Times New Roman"/>
        </w:rPr>
        <w:t xml:space="preserve">57% in 2022. </w:t>
      </w:r>
      <w:r w:rsidR="00074BF1">
        <w:rPr>
          <w:rFonts w:eastAsia="Times New Roman"/>
        </w:rPr>
        <w:t xml:space="preserve">This indicates a willingness to embrace </w:t>
      </w:r>
      <w:r w:rsidR="00335E73">
        <w:rPr>
          <w:rFonts w:eastAsia="Times New Roman"/>
        </w:rPr>
        <w:t>a growing talent pool of directors and board-ready leaders</w:t>
      </w:r>
      <w:r w:rsidR="00FA43BE">
        <w:rPr>
          <w:rFonts w:eastAsia="Times New Roman"/>
        </w:rPr>
        <w:t xml:space="preserve"> in Singapore.</w:t>
      </w:r>
    </w:p>
    <w:p w14:paraId="27151F99" w14:textId="6753F926" w:rsidR="00B17C82" w:rsidRPr="005E6974" w:rsidRDefault="00B17C82" w:rsidP="0045392A">
      <w:pPr>
        <w:pStyle w:val="ListParagraph"/>
        <w:numPr>
          <w:ilvl w:val="0"/>
          <w:numId w:val="26"/>
        </w:numPr>
        <w:rPr>
          <w:b/>
        </w:rPr>
      </w:pPr>
      <w:r w:rsidRPr="005E6974">
        <w:rPr>
          <w:b/>
        </w:rPr>
        <w:t>Women’s participation in the community</w:t>
      </w:r>
      <w:r w:rsidR="009633DD" w:rsidRPr="005E6974">
        <w:rPr>
          <w:b/>
        </w:rPr>
        <w:t xml:space="preserve"> </w:t>
      </w:r>
    </w:p>
    <w:p w14:paraId="040A171A" w14:textId="6AD0885B" w:rsidR="004132F2" w:rsidRPr="005E6974" w:rsidRDefault="004132F2" w:rsidP="00B415B3">
      <w:pPr>
        <w:jc w:val="both"/>
      </w:pPr>
      <w:r w:rsidRPr="005E6974">
        <w:t xml:space="preserve">The People’s Association (PA) gives equal opportunities to both female and male grassroots leaders, to take on leadership positions in Grassroot Organisations. Incidentally, we have seen an increasing number of women grassroots leaders, over the years. </w:t>
      </w:r>
    </w:p>
    <w:p w14:paraId="122505D5" w14:textId="48603FF8" w:rsidR="004132F2" w:rsidRPr="005E6974" w:rsidRDefault="004132F2" w:rsidP="00B415B3">
      <w:pPr>
        <w:jc w:val="both"/>
      </w:pPr>
      <w:r w:rsidRPr="005E6974">
        <w:t xml:space="preserve">A number of them serve in the 107 Women’s Executive Committees (WECs) that oversee Women programming at the Grassroots. The WECs actively reach out to women in the community and provide them volunteering opportunities with PA. Centrally, the PA Women’s Integration Network (WIN) Council, the co-ordinating body of the WECs, encourages women representation in community leadership. Regular networking sessions are also organised for WEC leaders to build meaningful bonds and share best practices. Courses and workshops such as ‘Leadership in Action’, ‘Coaching in Action’, are made accessible to all grassroots leaders to better equip them in their roles. </w:t>
      </w:r>
    </w:p>
    <w:p w14:paraId="315D7780" w14:textId="58E286B6" w:rsidR="004132F2" w:rsidRPr="005E6974" w:rsidRDefault="004132F2" w:rsidP="00B415B3">
      <w:pPr>
        <w:jc w:val="both"/>
      </w:pPr>
      <w:r w:rsidRPr="005E6974">
        <w:t>Through these efforts, more Singaporean women are actively involved in the grassroots movement, with a growth of 16</w:t>
      </w:r>
      <w:r w:rsidR="005C65FA" w:rsidRPr="005E6974">
        <w:t xml:space="preserve">% </w:t>
      </w:r>
      <w:r w:rsidRPr="005E6974">
        <w:t>between 2016 (16,882 female grassroots leaders) and 2023 (19,525 female grassroot leaders). The profile of these female grassroots leaders is varied. It includes youth, home makers, working professionals and businesswomen.</w:t>
      </w:r>
    </w:p>
    <w:p w14:paraId="69BE2909" w14:textId="4DFD566A" w:rsidR="004132F2" w:rsidRPr="005E6974" w:rsidRDefault="004132F2" w:rsidP="00B415B3">
      <w:pPr>
        <w:jc w:val="both"/>
      </w:pPr>
      <w:r w:rsidRPr="005E6974">
        <w:t>Women’s participation and representation in community leadership is also seen in Community Development Councils (CDCs). These councils have been bridging communities by strengthening local social infrastructure, building social resilience and social capital, and promoting the culture of giving back. The councils are represented by different community segments including women. This will ensure programmes and initiatives organised by CDCs are inclusive and cater to the needs of various community segments. Some female councillors also take the lead in functional committees under the CDCs.</w:t>
      </w:r>
    </w:p>
    <w:p w14:paraId="6490692F" w14:textId="3F393FAC" w:rsidR="006C1831" w:rsidRDefault="004132F2" w:rsidP="00B415B3">
      <w:pPr>
        <w:jc w:val="both"/>
      </w:pPr>
      <w:r w:rsidRPr="005E6974">
        <w:t>The councils will support the Mayors appointed for each district to galvanise residents and the support of diverse community partners, and help the community stay connected, resilient and cohesive.  The CDCs and Mayors form a bridge between residents and the Government, and strengthen Singapore’s social safety net. They function not only as the hands and legs to implement programmes for the community, but are also the eyes and ears to identify emerging needs and gaps in social support.</w:t>
      </w:r>
    </w:p>
    <w:p w14:paraId="40275D83" w14:textId="77777777" w:rsidR="009633DD" w:rsidRPr="006C1831" w:rsidRDefault="009633DD" w:rsidP="004132F2">
      <w:pPr>
        <w:rPr>
          <w:b/>
          <w:bCs/>
        </w:rPr>
      </w:pPr>
    </w:p>
    <w:p w14:paraId="3EC98D4F" w14:textId="1AD0A76D" w:rsidR="00001C24" w:rsidRPr="00B813D9" w:rsidRDefault="006C1831" w:rsidP="00B813D9">
      <w:pPr>
        <w:pStyle w:val="Heading3"/>
        <w:rPr>
          <w:b/>
          <w:u w:val="single"/>
        </w:rPr>
      </w:pPr>
      <w:bookmarkStart w:id="29" w:name="_Toc169709890"/>
      <w:r>
        <w:rPr>
          <w:b/>
          <w:bCs/>
        </w:rPr>
        <w:t>B.</w:t>
      </w:r>
      <w:r>
        <w:rPr>
          <w:b/>
          <w:bCs/>
        </w:rPr>
        <w:tab/>
      </w:r>
      <w:r w:rsidR="00CD1FBA" w:rsidRPr="006C1831">
        <w:rPr>
          <w:b/>
          <w:bCs/>
          <w:u w:val="single"/>
        </w:rPr>
        <w:t xml:space="preserve">Increase </w:t>
      </w:r>
      <w:r w:rsidR="0011048E">
        <w:rPr>
          <w:b/>
          <w:bCs/>
          <w:u w:val="single"/>
        </w:rPr>
        <w:t>W</w:t>
      </w:r>
      <w:r w:rsidR="00CD1FBA" w:rsidRPr="006C1831">
        <w:rPr>
          <w:b/>
          <w:bCs/>
          <w:u w:val="single"/>
        </w:rPr>
        <w:t xml:space="preserve">omen’s </w:t>
      </w:r>
      <w:r w:rsidR="0011048E">
        <w:rPr>
          <w:b/>
          <w:bCs/>
          <w:u w:val="single"/>
        </w:rPr>
        <w:t>A</w:t>
      </w:r>
      <w:r w:rsidR="00CD1FBA" w:rsidRPr="006C1831">
        <w:rPr>
          <w:b/>
          <w:bCs/>
          <w:u w:val="single"/>
        </w:rPr>
        <w:t xml:space="preserve">ccess to </w:t>
      </w:r>
      <w:r w:rsidR="0011048E">
        <w:rPr>
          <w:b/>
          <w:bCs/>
          <w:u w:val="single"/>
        </w:rPr>
        <w:t>E</w:t>
      </w:r>
      <w:r w:rsidR="00573959" w:rsidRPr="006C1831">
        <w:rPr>
          <w:b/>
          <w:bCs/>
          <w:u w:val="single"/>
        </w:rPr>
        <w:t xml:space="preserve">xpression and </w:t>
      </w:r>
      <w:r w:rsidR="0011048E">
        <w:rPr>
          <w:b/>
          <w:bCs/>
          <w:u w:val="single"/>
        </w:rPr>
        <w:t>P</w:t>
      </w:r>
      <w:r w:rsidR="00BE33E7" w:rsidRPr="006C1831">
        <w:rPr>
          <w:b/>
          <w:bCs/>
          <w:u w:val="single"/>
        </w:rPr>
        <w:t xml:space="preserve">articipation in </w:t>
      </w:r>
      <w:r w:rsidR="0011048E">
        <w:rPr>
          <w:b/>
          <w:bCs/>
          <w:u w:val="single"/>
        </w:rPr>
        <w:t>D</w:t>
      </w:r>
      <w:r w:rsidR="00BE33E7" w:rsidRPr="006C1831">
        <w:rPr>
          <w:b/>
          <w:bCs/>
          <w:u w:val="single"/>
        </w:rPr>
        <w:t>ecision-</w:t>
      </w:r>
      <w:r w:rsidR="0011048E">
        <w:rPr>
          <w:b/>
          <w:bCs/>
          <w:u w:val="single"/>
        </w:rPr>
        <w:t>M</w:t>
      </w:r>
      <w:r w:rsidR="00BE33E7" w:rsidRPr="006C1831">
        <w:rPr>
          <w:b/>
          <w:bCs/>
          <w:u w:val="single"/>
        </w:rPr>
        <w:t>aking in the</w:t>
      </w:r>
      <w:r w:rsidR="00CD1FBA" w:rsidRPr="006C1831">
        <w:rPr>
          <w:b/>
          <w:bCs/>
          <w:u w:val="single"/>
        </w:rPr>
        <w:t xml:space="preserve"> </w:t>
      </w:r>
      <w:r w:rsidR="0011048E">
        <w:rPr>
          <w:b/>
          <w:bCs/>
          <w:u w:val="single"/>
        </w:rPr>
        <w:t>M</w:t>
      </w:r>
      <w:r w:rsidR="00CD1FBA" w:rsidRPr="006C1831">
        <w:rPr>
          <w:b/>
          <w:bCs/>
          <w:u w:val="single"/>
        </w:rPr>
        <w:t>edia through ICT</w:t>
      </w:r>
      <w:bookmarkEnd w:id="29"/>
    </w:p>
    <w:p w14:paraId="61E5447D" w14:textId="2CB91B52" w:rsidR="006C1831" w:rsidRPr="006C1831" w:rsidRDefault="006C1831" w:rsidP="0045392A">
      <w:pPr>
        <w:pStyle w:val="ListParagraph"/>
        <w:numPr>
          <w:ilvl w:val="0"/>
          <w:numId w:val="27"/>
        </w:numPr>
        <w:rPr>
          <w:rFonts w:eastAsia="Franklin Gothic Book" w:cs="Arial"/>
          <w:b/>
          <w:bCs/>
          <w:szCs w:val="24"/>
        </w:rPr>
      </w:pPr>
      <w:r w:rsidRPr="006C1831">
        <w:rPr>
          <w:rFonts w:eastAsia="Franklin Gothic Book" w:cs="Arial"/>
          <w:b/>
          <w:bCs/>
          <w:szCs w:val="24"/>
        </w:rPr>
        <w:t>Enhancing digital and ICT capabilities</w:t>
      </w:r>
    </w:p>
    <w:p w14:paraId="23CF1755" w14:textId="2AF9BBF1" w:rsidR="001757E8" w:rsidRDefault="001757E8" w:rsidP="00B415B3">
      <w:pPr>
        <w:jc w:val="both"/>
        <w:rPr>
          <w:rFonts w:cstheme="minorHAnsi"/>
          <w:color w:val="000000"/>
          <w:shd w:val="clear" w:color="auto" w:fill="FFFFFF"/>
          <w:lang w:val="en-GB"/>
        </w:rPr>
      </w:pPr>
      <w:r w:rsidRPr="00E237AE">
        <w:rPr>
          <w:rFonts w:eastAsia="Franklin Gothic Book" w:cs="Arial"/>
          <w:szCs w:val="24"/>
        </w:rPr>
        <w:t>Female representation in ICT has improved in recent years. In 2017, 28% of the intake to ICT courses in our local universities w</w:t>
      </w:r>
      <w:r w:rsidR="00F61337">
        <w:rPr>
          <w:rFonts w:eastAsia="Franklin Gothic Book" w:cs="Arial"/>
          <w:szCs w:val="24"/>
        </w:rPr>
        <w:t>ere</w:t>
      </w:r>
      <w:r w:rsidRPr="00E237AE">
        <w:rPr>
          <w:rFonts w:eastAsia="Franklin Gothic Book" w:cs="Arial"/>
          <w:szCs w:val="24"/>
        </w:rPr>
        <w:t xml:space="preserve"> female; this figure increased to 30% in 2020.</w:t>
      </w:r>
      <w:r>
        <w:rPr>
          <w:rFonts w:eastAsia="Franklin Gothic Book" w:cs="Arial"/>
          <w:szCs w:val="24"/>
        </w:rPr>
        <w:t xml:space="preserve"> </w:t>
      </w:r>
    </w:p>
    <w:p w14:paraId="365F8FBB" w14:textId="2BC4DB6E" w:rsidR="00270205" w:rsidRDefault="00266C48" w:rsidP="00B415B3">
      <w:pPr>
        <w:jc w:val="both"/>
        <w:rPr>
          <w:rFonts w:cstheme="minorHAnsi"/>
          <w:b/>
          <w:bCs/>
          <w:color w:val="000000"/>
          <w:shd w:val="clear" w:color="auto" w:fill="FFFFFF"/>
        </w:rPr>
      </w:pPr>
      <w:r w:rsidRPr="001D1AFC">
        <w:rPr>
          <w:rFonts w:cstheme="minorHAnsi"/>
          <w:color w:val="000000"/>
          <w:shd w:val="clear" w:color="auto" w:fill="FFFFFF"/>
          <w:lang w:val="en-GB"/>
        </w:rPr>
        <w:t xml:space="preserve">Our schools and </w:t>
      </w:r>
      <w:r w:rsidR="005E6463">
        <w:rPr>
          <w:rFonts w:cstheme="minorHAnsi"/>
          <w:color w:val="000000"/>
          <w:shd w:val="clear" w:color="auto" w:fill="FFFFFF"/>
          <w:lang w:val="en-GB"/>
        </w:rPr>
        <w:t>IHLs</w:t>
      </w:r>
      <w:r w:rsidRPr="001D1AFC">
        <w:rPr>
          <w:rFonts w:cstheme="minorHAnsi"/>
          <w:color w:val="000000"/>
          <w:shd w:val="clear" w:color="auto" w:fill="FFFFFF"/>
          <w:lang w:val="en-GB"/>
        </w:rPr>
        <w:t xml:space="preserve"> play an important role in nurturing young talents in STEM. </w:t>
      </w:r>
      <w:r w:rsidR="001D1AFC" w:rsidRPr="004966C9">
        <w:rPr>
          <w:rFonts w:cstheme="minorHAnsi"/>
          <w:color w:val="000000"/>
          <w:shd w:val="clear" w:color="auto" w:fill="FFFFFF"/>
          <w:lang w:val="en-GB"/>
        </w:rPr>
        <w:t>To provide support for ICT and media-related studies at undergraduate and postgraduate levels, we have the SG Digital Scholarship. </w:t>
      </w:r>
      <w:r w:rsidR="004966C9" w:rsidRPr="004966C9">
        <w:rPr>
          <w:rStyle w:val="normaltextrun"/>
          <w:rFonts w:asciiTheme="minorHAnsi" w:hAnsiTheme="minorHAnsi" w:cstheme="minorHAnsi"/>
          <w:color w:val="000000"/>
          <w:shd w:val="clear" w:color="auto" w:fill="FFFFFF"/>
          <w:lang w:val="en-GB"/>
        </w:rPr>
        <w:t xml:space="preserve">In the past five years, we have seen a rise in the number of top female tech talent being </w:t>
      </w:r>
      <w:r w:rsidR="004966C9" w:rsidRPr="004966C9">
        <w:rPr>
          <w:rStyle w:val="normaltextrun"/>
          <w:rFonts w:asciiTheme="minorHAnsi" w:hAnsiTheme="minorHAnsi" w:cstheme="minorHAnsi"/>
          <w:color w:val="000000"/>
          <w:shd w:val="clear" w:color="auto" w:fill="FFFFFF"/>
          <w:lang w:val="en-GB"/>
        </w:rPr>
        <w:lastRenderedPageBreak/>
        <w:t>awarded this by IMDA, and they are pursuing courses in Cybersecurity, Information Technology, and STEM. In 2021, 31% of SG Digital scholarships were awarded to female recipients</w:t>
      </w:r>
      <w:r w:rsidR="005700B1">
        <w:rPr>
          <w:rStyle w:val="normaltextrun"/>
          <w:rFonts w:asciiTheme="minorHAnsi" w:hAnsiTheme="minorHAnsi" w:cstheme="minorHAnsi"/>
          <w:color w:val="000000"/>
          <w:shd w:val="clear" w:color="auto" w:fill="FFFFFF"/>
          <w:lang w:val="en-GB"/>
        </w:rPr>
        <w:t xml:space="preserve">, </w:t>
      </w:r>
      <w:r w:rsidR="004966C9" w:rsidRPr="004966C9">
        <w:rPr>
          <w:rStyle w:val="normaltextrun"/>
          <w:rFonts w:asciiTheme="minorHAnsi" w:hAnsiTheme="minorHAnsi" w:cstheme="minorHAnsi"/>
          <w:color w:val="000000"/>
          <w:shd w:val="clear" w:color="auto" w:fill="FFFFFF"/>
          <w:lang w:val="en-GB"/>
        </w:rPr>
        <w:t>an increase from 18% five years ago.</w:t>
      </w:r>
      <w:r w:rsidR="004966C9" w:rsidRPr="004966C9">
        <w:rPr>
          <w:rStyle w:val="eop"/>
          <w:rFonts w:cstheme="minorHAnsi"/>
          <w:color w:val="000000"/>
          <w:shd w:val="clear" w:color="auto" w:fill="FFFFFF"/>
        </w:rPr>
        <w:t> </w:t>
      </w:r>
    </w:p>
    <w:p w14:paraId="4B06F3BA" w14:textId="509F9120" w:rsidR="00CD78E2" w:rsidRPr="00091450" w:rsidRDefault="00CD78E2" w:rsidP="00B415B3">
      <w:pPr>
        <w:pStyle w:val="BodyTextIndent2"/>
        <w:spacing w:after="160" w:line="259" w:lineRule="auto"/>
        <w:ind w:left="0"/>
        <w:jc w:val="both"/>
        <w:rPr>
          <w:rFonts w:cs="Arial"/>
          <w:szCs w:val="24"/>
        </w:rPr>
      </w:pPr>
      <w:r w:rsidRPr="00091450">
        <w:rPr>
          <w:rFonts w:cs="Arial"/>
          <w:szCs w:val="24"/>
        </w:rPr>
        <w:t xml:space="preserve">The Singapore Digital Office was established in June 2020 during COVID-19 to help raise the digital adoption levels of less digitally savvy groups such as seniors, to equip them with skills to go online safely and enrich their lifestyles in an increasingly digital future. </w:t>
      </w:r>
    </w:p>
    <w:p w14:paraId="64C0FFBC" w14:textId="51D6FE68" w:rsidR="00CD78E2" w:rsidRPr="00091450" w:rsidRDefault="00CD78E2" w:rsidP="00B415B3">
      <w:pPr>
        <w:pStyle w:val="BodyTextIndent2"/>
        <w:spacing w:after="160" w:line="259" w:lineRule="auto"/>
        <w:ind w:left="0"/>
        <w:jc w:val="both"/>
        <w:rPr>
          <w:rFonts w:cs="Arial"/>
          <w:szCs w:val="24"/>
        </w:rPr>
      </w:pPr>
      <w:r w:rsidRPr="00091450">
        <w:rPr>
          <w:rFonts w:cs="Arial"/>
          <w:szCs w:val="24"/>
        </w:rPr>
        <w:t xml:space="preserve">Under the Seniors Go Digital initiative, the Singapore Digital Office employs Digital Ambassadors to provide basic digital training to seniors such as on e-communications, </w:t>
      </w:r>
      <w:r w:rsidR="005E6D7B">
        <w:rPr>
          <w:rFonts w:cs="Arial"/>
          <w:szCs w:val="24"/>
        </w:rPr>
        <w:t>G</w:t>
      </w:r>
      <w:r w:rsidRPr="00091450">
        <w:rPr>
          <w:rFonts w:cs="Arial"/>
          <w:szCs w:val="24"/>
        </w:rPr>
        <w:t xml:space="preserve">overnment digital services and e-payment, through one-to-one coaching, small group learning and Learning Journeys to libraries and supermarkets. These sessions are conducted in vernacular languages such as Malay, Chinese and Tamil for different audiences. Seniors also learn about cyber risks and threats and staying safe online. </w:t>
      </w:r>
    </w:p>
    <w:p w14:paraId="589FB82B" w14:textId="7750B9BA" w:rsidR="00CD78E2" w:rsidRPr="004966C9" w:rsidRDefault="00817F0A" w:rsidP="00001C24">
      <w:pPr>
        <w:pStyle w:val="BodyTextIndent2"/>
        <w:spacing w:after="160" w:line="259" w:lineRule="auto"/>
        <w:ind w:left="0"/>
        <w:jc w:val="both"/>
        <w:rPr>
          <w:rFonts w:cstheme="minorHAnsi"/>
        </w:rPr>
      </w:pPr>
      <w:r w:rsidRPr="00EE2021">
        <w:rPr>
          <w:rFonts w:cs="Arial"/>
          <w:szCs w:val="24"/>
        </w:rPr>
        <w:t xml:space="preserve">With the rapid pace of technology advancement, the digital literacy and skills needed to use digital technologies in a safe and responsible manner will continue to evolve. IMDA </w:t>
      </w:r>
      <w:r>
        <w:rPr>
          <w:rFonts w:cs="Arial"/>
          <w:szCs w:val="24"/>
        </w:rPr>
        <w:t>has introduced</w:t>
      </w:r>
      <w:r w:rsidRPr="00EE2021">
        <w:rPr>
          <w:rFonts w:cs="Arial"/>
          <w:szCs w:val="24"/>
        </w:rPr>
        <w:t xml:space="preserve"> the new Digital Skills for Life (DSL) framework</w:t>
      </w:r>
      <w:r>
        <w:rPr>
          <w:rFonts w:cs="Arial"/>
          <w:szCs w:val="24"/>
        </w:rPr>
        <w:t xml:space="preserve"> in January 2024</w:t>
      </w:r>
      <w:r w:rsidRPr="00EE2021">
        <w:rPr>
          <w:rFonts w:cs="Arial"/>
          <w:szCs w:val="24"/>
        </w:rPr>
        <w:t>, which aims to equip Singaporeans with the necessary knowledge, skills and attitudes to navigate the digital space, carry out daily tasks and stay safe online.</w:t>
      </w:r>
      <w:r>
        <w:rPr>
          <w:rFonts w:cs="Arial"/>
          <w:szCs w:val="24"/>
        </w:rPr>
        <w:t xml:space="preserve"> </w:t>
      </w:r>
    </w:p>
    <w:p w14:paraId="3BE9AD1D" w14:textId="0F01C559" w:rsidR="004E2D98" w:rsidRPr="0091716B" w:rsidRDefault="004E2D98" w:rsidP="0045392A">
      <w:pPr>
        <w:pStyle w:val="ListParagraph"/>
        <w:numPr>
          <w:ilvl w:val="0"/>
          <w:numId w:val="27"/>
        </w:numPr>
        <w:spacing w:after="0" w:line="240" w:lineRule="auto"/>
        <w:jc w:val="both"/>
        <w:rPr>
          <w:b/>
          <w:bCs/>
        </w:rPr>
      </w:pPr>
      <w:r w:rsidRPr="0091716B">
        <w:rPr>
          <w:b/>
          <w:bCs/>
        </w:rPr>
        <w:t>Accessibility and affordability of ICTs</w:t>
      </w:r>
    </w:p>
    <w:p w14:paraId="0EA2F679" w14:textId="77777777" w:rsidR="004E2D98" w:rsidRDefault="004E2D98" w:rsidP="004E2D98">
      <w:pPr>
        <w:spacing w:after="0" w:line="240" w:lineRule="auto"/>
        <w:jc w:val="both"/>
      </w:pPr>
    </w:p>
    <w:p w14:paraId="760BAF45" w14:textId="77777777" w:rsidR="004E2D98" w:rsidRDefault="004E2D98" w:rsidP="004E2D98">
      <w:pPr>
        <w:spacing w:after="0" w:line="240" w:lineRule="auto"/>
        <w:jc w:val="both"/>
      </w:pPr>
      <w:r w:rsidRPr="00CF48DA">
        <w:t>Singapore seeks to ensure a baseline level of digital access for all households, in the form of broadband connectivity at home and access to at least one computing device.</w:t>
      </w:r>
    </w:p>
    <w:p w14:paraId="394FDAFC" w14:textId="77777777" w:rsidR="004E2D98" w:rsidRDefault="004E2D98" w:rsidP="004E2D98">
      <w:pPr>
        <w:spacing w:after="0" w:line="240" w:lineRule="auto"/>
        <w:jc w:val="both"/>
      </w:pPr>
    </w:p>
    <w:p w14:paraId="4790C532" w14:textId="77777777" w:rsidR="004E2D98" w:rsidRPr="006F7453" w:rsidRDefault="004E2D98" w:rsidP="00B802D9">
      <w:pPr>
        <w:jc w:val="both"/>
        <w:rPr>
          <w:rFonts w:eastAsia="Franklin Gothic Book" w:cs="Arial"/>
          <w:szCs w:val="24"/>
        </w:rPr>
      </w:pPr>
      <w:r w:rsidRPr="006F7453">
        <w:t>To make these digital resources more affordable for those facing financial constraints, the Government had implemented digital access subsidy programmes, targeted at the lowest 10 – 20% of income earners. Earlier interventions like the NEU PC Plus and Home Access programmes subsidised computers and provided broadband connectivity for low-income households with students and Persons with Disabilities (</w:t>
      </w:r>
      <w:proofErr w:type="spellStart"/>
      <w:r w:rsidRPr="006F7453">
        <w:t>PwDs</w:t>
      </w:r>
      <w:proofErr w:type="spellEnd"/>
      <w:r w:rsidRPr="006F7453">
        <w:t>), benefitting more than 46,000 households since 2020.</w:t>
      </w:r>
    </w:p>
    <w:p w14:paraId="17E9EC3A" w14:textId="4E7810E9" w:rsidR="00BA3D91" w:rsidRDefault="00BA3D91" w:rsidP="00BA3D91">
      <w:pPr>
        <w:spacing w:line="259" w:lineRule="auto"/>
        <w:jc w:val="both"/>
        <w:rPr>
          <w:bCs/>
        </w:rPr>
      </w:pPr>
      <w:r w:rsidRPr="008E3830">
        <w:rPr>
          <w:bCs/>
        </w:rPr>
        <w:t xml:space="preserve">A new </w:t>
      </w:r>
      <w:hyperlink r:id="rId11" w:tgtFrame="_blank" w:tooltip="mailto:digitalaccess@home" w:history="1">
        <w:proofErr w:type="spellStart"/>
        <w:r w:rsidRPr="008E3830">
          <w:rPr>
            <w:bCs/>
          </w:rPr>
          <w:t>DigitalAccess@Home</w:t>
        </w:r>
        <w:proofErr w:type="spellEnd"/>
      </w:hyperlink>
      <w:r w:rsidRPr="008E3830">
        <w:rPr>
          <w:bCs/>
        </w:rPr>
        <w:t xml:space="preserve"> scheme </w:t>
      </w:r>
      <w:r w:rsidR="00E36087">
        <w:rPr>
          <w:bCs/>
        </w:rPr>
        <w:t>was</w:t>
      </w:r>
      <w:r w:rsidRPr="008E3830">
        <w:rPr>
          <w:bCs/>
        </w:rPr>
        <w:t xml:space="preserve"> launched</w:t>
      </w:r>
      <w:r w:rsidR="00E36087">
        <w:rPr>
          <w:bCs/>
        </w:rPr>
        <w:t xml:space="preserve"> in April 2023</w:t>
      </w:r>
      <w:r w:rsidRPr="008E3830">
        <w:rPr>
          <w:bCs/>
        </w:rPr>
        <w:t xml:space="preserve">, replacing the NEU PC Plus and Home Access Schemes, to provide subsidised internet access and devices to lower income households to support their lifestyle needs, including work and social activities. </w:t>
      </w:r>
      <w:r w:rsidR="00895504" w:rsidRPr="008E3830">
        <w:rPr>
          <w:bCs/>
        </w:rPr>
        <w:t xml:space="preserve">As of December 2023, </w:t>
      </w:r>
      <w:r w:rsidR="00895504">
        <w:rPr>
          <w:rFonts w:ascii="Calibri" w:eastAsia="Calibri" w:hAnsi="Calibri" w:cs="Calibri"/>
        </w:rPr>
        <w:t xml:space="preserve">the </w:t>
      </w:r>
      <w:proofErr w:type="spellStart"/>
      <w:r w:rsidR="00895504">
        <w:rPr>
          <w:rFonts w:ascii="Calibri" w:eastAsia="Calibri" w:hAnsi="Calibri" w:cs="Calibri"/>
        </w:rPr>
        <w:t>DigitalAccess@Home</w:t>
      </w:r>
      <w:proofErr w:type="spellEnd"/>
      <w:r w:rsidR="00895504">
        <w:rPr>
          <w:rFonts w:ascii="Calibri" w:eastAsia="Calibri" w:hAnsi="Calibri" w:cs="Calibri"/>
        </w:rPr>
        <w:t xml:space="preserve"> scheme has </w:t>
      </w:r>
      <w:r w:rsidR="00895504" w:rsidRPr="6EB2283A">
        <w:rPr>
          <w:rFonts w:ascii="Calibri" w:eastAsia="Calibri" w:hAnsi="Calibri" w:cs="Calibri"/>
        </w:rPr>
        <w:t>supported about 6,800 lower-income households</w:t>
      </w:r>
      <w:r w:rsidR="00895504" w:rsidRPr="008E3830">
        <w:rPr>
          <w:bCs/>
        </w:rPr>
        <w:t>.</w:t>
      </w:r>
    </w:p>
    <w:p w14:paraId="0418377A" w14:textId="58108DA9" w:rsidR="00895504" w:rsidRPr="008E3830" w:rsidRDefault="00895504" w:rsidP="00895504">
      <w:pPr>
        <w:spacing w:line="259" w:lineRule="auto"/>
        <w:jc w:val="both"/>
        <w:rPr>
          <w:bCs/>
        </w:rPr>
      </w:pPr>
      <w:r w:rsidRPr="008E3830">
        <w:rPr>
          <w:bCs/>
        </w:rPr>
        <w:t xml:space="preserve">The Mobile Access for Seniors (MAS) scheme was launched in June 2020, providing assistance to lower-income seniors who want to go digital and enjoy mobile services but lack the means to do so. This scheme offers a 2-year subsidised mobile plan and a subsidised smartphone. </w:t>
      </w:r>
      <w:r w:rsidRPr="00AE2F1C">
        <w:rPr>
          <w:bCs/>
        </w:rPr>
        <w:t>Since 2020, over 11,000 lower-income seniors have benefitted.</w:t>
      </w:r>
      <w:r>
        <w:rPr>
          <w:bCs/>
        </w:rPr>
        <w:t xml:space="preserve"> </w:t>
      </w:r>
    </w:p>
    <w:p w14:paraId="528B60F9" w14:textId="77777777" w:rsidR="0011048E" w:rsidRPr="004E2D98" w:rsidRDefault="0011048E" w:rsidP="004E2D98">
      <w:pPr>
        <w:spacing w:line="259" w:lineRule="auto"/>
        <w:jc w:val="both"/>
        <w:rPr>
          <w:bCs/>
        </w:rPr>
      </w:pPr>
    </w:p>
    <w:p w14:paraId="465D3FDC" w14:textId="0B5B01E3" w:rsidR="008616E2" w:rsidRPr="00674AF0" w:rsidRDefault="0091716B" w:rsidP="00001C24">
      <w:pPr>
        <w:pStyle w:val="Heading3"/>
        <w:jc w:val="both"/>
        <w:rPr>
          <w:b/>
          <w:bCs/>
          <w:u w:val="single"/>
        </w:rPr>
      </w:pPr>
      <w:bookmarkStart w:id="30" w:name="_Toc169709891"/>
      <w:r>
        <w:rPr>
          <w:b/>
          <w:bCs/>
        </w:rPr>
        <w:t>C.</w:t>
      </w:r>
      <w:r>
        <w:rPr>
          <w:b/>
          <w:bCs/>
        </w:rPr>
        <w:tab/>
      </w:r>
      <w:r w:rsidR="00917FD2" w:rsidRPr="00674AF0">
        <w:rPr>
          <w:b/>
          <w:bCs/>
          <w:u w:val="single"/>
        </w:rPr>
        <w:t xml:space="preserve">Singapore’s </w:t>
      </w:r>
      <w:r w:rsidR="0011048E">
        <w:rPr>
          <w:b/>
          <w:bCs/>
          <w:u w:val="single"/>
        </w:rPr>
        <w:t>N</w:t>
      </w:r>
      <w:r w:rsidR="00917FD2" w:rsidRPr="00674AF0">
        <w:rPr>
          <w:b/>
          <w:bCs/>
          <w:u w:val="single"/>
        </w:rPr>
        <w:t xml:space="preserve">ational </w:t>
      </w:r>
      <w:r w:rsidR="0011048E">
        <w:rPr>
          <w:b/>
          <w:bCs/>
          <w:u w:val="single"/>
        </w:rPr>
        <w:t>W</w:t>
      </w:r>
      <w:r w:rsidR="00917FD2" w:rsidRPr="00674AF0">
        <w:rPr>
          <w:b/>
          <w:bCs/>
          <w:u w:val="single"/>
        </w:rPr>
        <w:t xml:space="preserve">omen’s </w:t>
      </w:r>
      <w:r w:rsidR="0011048E">
        <w:rPr>
          <w:b/>
          <w:bCs/>
          <w:u w:val="single"/>
        </w:rPr>
        <w:t>M</w:t>
      </w:r>
      <w:r w:rsidR="00917FD2" w:rsidRPr="00674AF0">
        <w:rPr>
          <w:b/>
          <w:bCs/>
          <w:u w:val="single"/>
        </w:rPr>
        <w:t>achinery</w:t>
      </w:r>
      <w:bookmarkEnd w:id="30"/>
      <w:r w:rsidR="00917FD2" w:rsidRPr="00674AF0">
        <w:rPr>
          <w:b/>
          <w:bCs/>
          <w:u w:val="single"/>
        </w:rPr>
        <w:t xml:space="preserve"> </w:t>
      </w:r>
    </w:p>
    <w:p w14:paraId="7366F05E" w14:textId="00BEECFF" w:rsidR="00461BF3" w:rsidRPr="00D06264" w:rsidRDefault="00D07885" w:rsidP="00001C24">
      <w:pPr>
        <w:jc w:val="both"/>
        <w:rPr>
          <w:rFonts w:eastAsia="SimSun" w:cs="Arial"/>
          <w:lang w:val="en-GB" w:eastAsia="zh-CN"/>
        </w:rPr>
      </w:pPr>
      <w:r w:rsidRPr="00D06264">
        <w:rPr>
          <w:rFonts w:eastAsia="SimSun" w:cs="Arial"/>
          <w:lang w:val="en-GB" w:eastAsia="zh-CN"/>
        </w:rPr>
        <w:t xml:space="preserve">Singapore </w:t>
      </w:r>
      <w:r w:rsidR="004B67B7" w:rsidRPr="00D06264">
        <w:rPr>
          <w:rFonts w:eastAsia="SimSun" w:cs="Arial"/>
          <w:lang w:val="en-GB" w:eastAsia="zh-CN"/>
        </w:rPr>
        <w:t>has</w:t>
      </w:r>
      <w:r w:rsidR="00461BF3" w:rsidRPr="00D06264">
        <w:rPr>
          <w:rFonts w:eastAsia="SimSun" w:cs="Arial"/>
          <w:lang w:val="en-GB" w:eastAsia="zh-CN"/>
        </w:rPr>
        <w:t xml:space="preserve"> three entities</w:t>
      </w:r>
      <w:r w:rsidR="004B67B7" w:rsidRPr="00D06264">
        <w:rPr>
          <w:rFonts w:eastAsia="SimSun" w:cs="Arial"/>
          <w:lang w:val="en-GB" w:eastAsia="zh-CN"/>
        </w:rPr>
        <w:t xml:space="preserve"> that oversee </w:t>
      </w:r>
      <w:r w:rsidR="00461BF3" w:rsidRPr="00D06264">
        <w:rPr>
          <w:rFonts w:eastAsia="SimSun" w:cs="Arial"/>
          <w:lang w:val="en-GB" w:eastAsia="zh-CN"/>
        </w:rPr>
        <w:t>women-related matters</w:t>
      </w:r>
      <w:r w:rsidR="00B33C2B" w:rsidRPr="00D06264">
        <w:rPr>
          <w:rFonts w:eastAsia="SimSun" w:cs="Arial"/>
          <w:lang w:val="en-GB" w:eastAsia="zh-CN"/>
        </w:rPr>
        <w:t xml:space="preserve"> </w:t>
      </w:r>
      <w:r w:rsidR="00902C84" w:rsidRPr="00D06264">
        <w:rPr>
          <w:rFonts w:eastAsia="SimSun" w:cs="Arial"/>
          <w:lang w:val="en-GB" w:eastAsia="zh-CN"/>
        </w:rPr>
        <w:t>and coordinates across government</w:t>
      </w:r>
      <w:r w:rsidR="00461BF3" w:rsidRPr="00D06264">
        <w:rPr>
          <w:rFonts w:eastAsia="SimSun" w:cs="Arial"/>
          <w:lang w:val="en-GB" w:eastAsia="zh-CN"/>
        </w:rPr>
        <w:t xml:space="preserve">. </w:t>
      </w:r>
    </w:p>
    <w:p w14:paraId="1FFEED12" w14:textId="716A10F3" w:rsidR="00461BF3" w:rsidRPr="00461BF3" w:rsidRDefault="00461BF3" w:rsidP="00461BF3">
      <w:pPr>
        <w:pStyle w:val="ListParagraph"/>
        <w:spacing w:line="259" w:lineRule="auto"/>
        <w:ind w:left="0"/>
        <w:contextualSpacing w:val="0"/>
        <w:jc w:val="both"/>
        <w:rPr>
          <w:rFonts w:eastAsia="SimSun" w:cs="Arial"/>
          <w:lang w:val="en-GB" w:eastAsia="zh-CN"/>
        </w:rPr>
      </w:pPr>
      <w:r w:rsidRPr="00461BF3">
        <w:rPr>
          <w:rFonts w:eastAsia="SimSun" w:cs="Arial"/>
          <w:lang w:val="en-GB" w:eastAsia="zh-CN"/>
        </w:rPr>
        <w:t xml:space="preserve">First, </w:t>
      </w:r>
      <w:r>
        <w:rPr>
          <w:rFonts w:eastAsia="SimSun" w:cs="Arial"/>
          <w:lang w:val="en-GB" w:eastAsia="zh-CN"/>
        </w:rPr>
        <w:t>t</w:t>
      </w:r>
      <w:r w:rsidRPr="00461BF3">
        <w:rPr>
          <w:rFonts w:eastAsia="SimSun" w:cs="Arial"/>
          <w:lang w:val="en-GB" w:eastAsia="zh-CN"/>
        </w:rPr>
        <w:t>he Inter-Ministry Committee on</w:t>
      </w:r>
      <w:r w:rsidR="00AD4FAD">
        <w:rPr>
          <w:rFonts w:eastAsia="SimSun" w:cs="Arial"/>
          <w:lang w:val="en-GB" w:eastAsia="zh-CN"/>
        </w:rPr>
        <w:t xml:space="preserve"> </w:t>
      </w:r>
      <w:r w:rsidR="00AD4FAD" w:rsidRPr="00AD4FAD">
        <w:rPr>
          <w:rFonts w:eastAsia="SimSun" w:cs="Arial"/>
          <w:lang w:val="en-GB" w:eastAsia="zh-CN"/>
        </w:rPr>
        <w:t>Convention on the Elimination of All Forms of Discrimination against Women</w:t>
      </w:r>
      <w:r w:rsidRPr="00461BF3">
        <w:rPr>
          <w:rFonts w:eastAsia="SimSun" w:cs="Arial"/>
          <w:lang w:val="en-GB" w:eastAsia="zh-CN"/>
        </w:rPr>
        <w:t xml:space="preserve"> </w:t>
      </w:r>
      <w:r w:rsidR="00AD4FAD">
        <w:rPr>
          <w:rFonts w:eastAsia="SimSun" w:cs="Arial"/>
          <w:lang w:val="en-GB" w:eastAsia="zh-CN"/>
        </w:rPr>
        <w:t>(</w:t>
      </w:r>
      <w:r w:rsidRPr="00461BF3">
        <w:rPr>
          <w:rFonts w:eastAsia="SimSun" w:cs="Arial"/>
          <w:lang w:val="en-GB" w:eastAsia="zh-CN"/>
        </w:rPr>
        <w:t>CEDAW</w:t>
      </w:r>
      <w:r w:rsidR="00AD4FAD">
        <w:rPr>
          <w:rFonts w:eastAsia="SimSun" w:cs="Arial"/>
          <w:lang w:val="en-GB" w:eastAsia="zh-CN"/>
        </w:rPr>
        <w:t>)</w:t>
      </w:r>
      <w:r w:rsidRPr="00461BF3">
        <w:rPr>
          <w:rFonts w:eastAsia="SimSun" w:cs="Arial"/>
          <w:lang w:val="en-GB" w:eastAsia="zh-CN"/>
        </w:rPr>
        <w:t xml:space="preserve"> which coordinates the “whole-of-government” implementation of CEDAW in Singapore.</w:t>
      </w:r>
      <w:r>
        <w:rPr>
          <w:rFonts w:eastAsia="SimSun" w:cs="Arial"/>
          <w:lang w:val="en-GB" w:eastAsia="zh-CN"/>
        </w:rPr>
        <w:t xml:space="preserve"> </w:t>
      </w:r>
      <w:r w:rsidRPr="00461BF3">
        <w:rPr>
          <w:rFonts w:eastAsia="SimSun" w:cs="Arial"/>
          <w:lang w:val="en-GB" w:eastAsia="zh-CN"/>
        </w:rPr>
        <w:t xml:space="preserve">The Inter-Ministry Committee comprises 12 Ministries and public sector agencies. Members </w:t>
      </w:r>
      <w:r w:rsidRPr="00461BF3">
        <w:rPr>
          <w:rFonts w:eastAsia="SimSun" w:cs="Arial"/>
          <w:lang w:val="en-GB" w:eastAsia="zh-CN"/>
        </w:rPr>
        <w:lastRenderedPageBreak/>
        <w:t>of the Inter-Ministry Committee are responsible for monitoring, implementing and coordinating laws, policies and initiatives within their own agencies’ purview to ensure compliance with the Convention and to address the needs of women.</w:t>
      </w:r>
    </w:p>
    <w:p w14:paraId="11D99486" w14:textId="30349F11" w:rsidR="00461BF3" w:rsidRPr="00461BF3" w:rsidRDefault="00461BF3" w:rsidP="00461BF3">
      <w:pPr>
        <w:spacing w:line="259" w:lineRule="auto"/>
        <w:jc w:val="both"/>
        <w:rPr>
          <w:rFonts w:eastAsia="SimSun" w:cs="Arial"/>
          <w:lang w:val="en-GB" w:eastAsia="zh-CN"/>
        </w:rPr>
      </w:pPr>
      <w:r w:rsidRPr="00461BF3">
        <w:rPr>
          <w:rFonts w:eastAsia="SimSun" w:cs="Arial"/>
          <w:lang w:val="en-GB" w:eastAsia="zh-CN"/>
        </w:rPr>
        <w:t xml:space="preserve">Second, </w:t>
      </w:r>
      <w:r w:rsidRPr="00461BF3">
        <w:rPr>
          <w:rStyle w:val="ui-provider"/>
        </w:rPr>
        <w:t>the Inter-Agency Committee on the White Paper on Singapore’s Women’s Development.</w:t>
      </w:r>
      <w:r w:rsidR="00871A55">
        <w:rPr>
          <w:rStyle w:val="ui-provider"/>
        </w:rPr>
        <w:t xml:space="preserve"> </w:t>
      </w:r>
      <w:r w:rsidR="00E07B3D" w:rsidRPr="00E07B3D">
        <w:rPr>
          <w:rStyle w:val="ui-provider"/>
        </w:rPr>
        <w:t>The inter-Agency Committee comprises 15 ministries and public sector agencies who are accountable for the implementation of the 25 action plans over a 10-year period starting 2022.</w:t>
      </w:r>
    </w:p>
    <w:p w14:paraId="464BEEF4" w14:textId="000938DB" w:rsidR="00354FAB" w:rsidRPr="00EE2021" w:rsidRDefault="000D533B" w:rsidP="00001C24">
      <w:pPr>
        <w:jc w:val="both"/>
        <w:rPr>
          <w:rFonts w:eastAsia="SimSun" w:cs="Arial"/>
          <w:lang w:val="en-GB" w:eastAsia="zh-CN"/>
        </w:rPr>
      </w:pPr>
      <w:r w:rsidRPr="00461BF3">
        <w:rPr>
          <w:rFonts w:eastAsia="SimSun" w:cs="Arial"/>
          <w:lang w:val="en-GB" w:eastAsia="zh-CN"/>
        </w:rPr>
        <w:t xml:space="preserve">Third, </w:t>
      </w:r>
      <w:r>
        <w:rPr>
          <w:rFonts w:eastAsia="SimSun" w:cs="Arial"/>
          <w:lang w:val="en-GB" w:eastAsia="zh-CN"/>
        </w:rPr>
        <w:t>t</w:t>
      </w:r>
      <w:r w:rsidRPr="00461BF3">
        <w:rPr>
          <w:rFonts w:eastAsia="SimSun" w:cs="Arial"/>
          <w:lang w:val="en-GB" w:eastAsia="zh-CN"/>
        </w:rPr>
        <w:t>he Ministry of Social and Family Development’s Strategy and Women’s Development, which is the national focal point for women matters</w:t>
      </w:r>
      <w:r>
        <w:rPr>
          <w:rFonts w:eastAsia="SimSun" w:cs="Arial"/>
          <w:lang w:val="en-GB" w:eastAsia="zh-CN"/>
        </w:rPr>
        <w:t xml:space="preserve"> </w:t>
      </w:r>
      <w:r w:rsidRPr="00382601">
        <w:rPr>
          <w:rFonts w:eastAsia="SimSun" w:cs="Arial"/>
          <w:lang w:val="en-GB" w:eastAsia="zh-CN"/>
        </w:rPr>
        <w:t>and steers whole-of-</w:t>
      </w:r>
      <w:r>
        <w:rPr>
          <w:rFonts w:eastAsia="SimSun" w:cs="Arial"/>
          <w:lang w:val="en-GB" w:eastAsia="zh-CN"/>
        </w:rPr>
        <w:t>G</w:t>
      </w:r>
      <w:r w:rsidRPr="00382601">
        <w:rPr>
          <w:rFonts w:eastAsia="SimSun" w:cs="Arial"/>
          <w:lang w:val="en-GB" w:eastAsia="zh-CN"/>
        </w:rPr>
        <w:t xml:space="preserve">overnment policies and strategies to empower women to pursue their aspirations freely and to the fullest, in equal partnership with men in the family and in society. </w:t>
      </w:r>
      <w:r w:rsidR="00382601" w:rsidRPr="00382601">
        <w:rPr>
          <w:rFonts w:eastAsia="SimSun" w:cs="Arial"/>
          <w:lang w:val="en-GB" w:eastAsia="zh-CN"/>
        </w:rPr>
        <w:t>The Division's work is crucial in advancing the government's efforts to create a more inclusive and supportive society and has a direct impact on the lives of women and families in Singapore</w:t>
      </w:r>
      <w:r w:rsidR="00461BF3" w:rsidRPr="00461BF3">
        <w:rPr>
          <w:rFonts w:eastAsia="SimSun" w:cs="Arial"/>
          <w:lang w:val="en-GB" w:eastAsia="zh-CN"/>
        </w:rPr>
        <w:t>. It supports the Inter-Ministry Committee on CEDAW and the Inter-Agency Committee on the White Paper and monitors policies to ensure appropriate and timely implementation of gender-sensitive measures and policies.</w:t>
      </w:r>
    </w:p>
    <w:p w14:paraId="1E49CDAC" w14:textId="403BE97B" w:rsidR="00EE28D5" w:rsidRPr="00485D04" w:rsidRDefault="00D24DDE" w:rsidP="00001C24">
      <w:pPr>
        <w:jc w:val="both"/>
        <w:rPr>
          <w:b/>
          <w:bCs/>
        </w:rPr>
      </w:pPr>
      <w:r w:rsidRPr="00485D04">
        <w:rPr>
          <w:b/>
          <w:bCs/>
        </w:rPr>
        <w:t>Consultations with women’s organisations</w:t>
      </w:r>
      <w:r w:rsidR="00176849" w:rsidRPr="00485D04">
        <w:rPr>
          <w:b/>
          <w:bCs/>
        </w:rPr>
        <w:t xml:space="preserve"> </w:t>
      </w:r>
    </w:p>
    <w:p w14:paraId="2758252A" w14:textId="52852368" w:rsidR="00522C80" w:rsidRPr="00522C80" w:rsidRDefault="00522C80" w:rsidP="00522C80">
      <w:pPr>
        <w:suppressAutoHyphens/>
        <w:spacing w:before="120" w:after="120" w:line="259" w:lineRule="auto"/>
        <w:jc w:val="both"/>
        <w:rPr>
          <w:rFonts w:eastAsia="SimSun" w:cs="Arial"/>
          <w:lang w:val="en-GB" w:eastAsia="zh-CN"/>
        </w:rPr>
      </w:pPr>
      <w:r w:rsidRPr="00522C80">
        <w:rPr>
          <w:rFonts w:eastAsia="SimSun" w:cs="Arial"/>
          <w:lang w:val="en-GB" w:eastAsia="zh-CN"/>
        </w:rPr>
        <w:t>The Government organises regular dialogue sessions, focus group discussions and public forums to actively obtain the public’s views on policies and proposed legislative changes, including those related to supporting the aspirations of women.</w:t>
      </w:r>
      <w:r>
        <w:rPr>
          <w:rFonts w:eastAsia="SimSun" w:cs="Arial"/>
          <w:lang w:val="en-GB" w:eastAsia="zh-CN"/>
        </w:rPr>
        <w:t xml:space="preserve"> </w:t>
      </w:r>
      <w:r w:rsidRPr="00522C80">
        <w:rPr>
          <w:rFonts w:eastAsia="SimSun" w:cs="Arial"/>
          <w:lang w:val="en-GB" w:eastAsia="zh-CN"/>
        </w:rPr>
        <w:t>These discussions are crucial for the Government to understand the challenges faced by women, and the effectiveness of existing policies and further gaps that need to be addressed.</w:t>
      </w:r>
    </w:p>
    <w:p w14:paraId="57A5D1B1" w14:textId="6AF40672" w:rsidR="00176849" w:rsidRPr="00176849" w:rsidRDefault="00522C80" w:rsidP="00001C24">
      <w:pPr>
        <w:spacing w:line="259" w:lineRule="auto"/>
        <w:jc w:val="both"/>
        <w:rPr>
          <w:rFonts w:eastAsia="SimSun" w:cs="Arial"/>
          <w:lang w:val="en-GB" w:eastAsia="zh-CN"/>
        </w:rPr>
      </w:pPr>
      <w:r w:rsidRPr="00522C80">
        <w:rPr>
          <w:rFonts w:eastAsia="SimSun" w:cs="Arial"/>
          <w:lang w:val="en-GB" w:eastAsia="zh-CN"/>
        </w:rPr>
        <w:t xml:space="preserve">The views are taken into consideration when determining the agenda of the Inter-Ministry Committee </w:t>
      </w:r>
      <w:r w:rsidRPr="002F5F42">
        <w:t>and Strategy and Women’s Development Division</w:t>
      </w:r>
      <w:r w:rsidRPr="00522C80">
        <w:rPr>
          <w:rFonts w:eastAsia="SimSun" w:cs="Arial"/>
          <w:lang w:val="en-GB" w:eastAsia="zh-CN"/>
        </w:rPr>
        <w:t xml:space="preserve">. </w:t>
      </w:r>
      <w:r w:rsidR="00176849" w:rsidRPr="00176849">
        <w:rPr>
          <w:rFonts w:eastAsia="SimSun" w:cs="Arial"/>
          <w:lang w:val="en-GB" w:eastAsia="zh-CN"/>
        </w:rPr>
        <w:t xml:space="preserve"> </w:t>
      </w:r>
    </w:p>
    <w:p w14:paraId="1FCB8D18" w14:textId="77777777" w:rsidR="003D1786" w:rsidRDefault="003D1786">
      <w:pPr>
        <w:spacing w:line="259" w:lineRule="auto"/>
        <w:rPr>
          <w:rStyle w:val="Heading2Char"/>
          <w:b/>
          <w:bCs/>
          <w:sz w:val="32"/>
          <w:szCs w:val="32"/>
          <w:u w:val="single"/>
        </w:rPr>
      </w:pPr>
      <w:bookmarkStart w:id="31" w:name="_Toc169709892"/>
      <w:r>
        <w:rPr>
          <w:rStyle w:val="Heading2Char"/>
          <w:b/>
          <w:bCs/>
          <w:sz w:val="32"/>
          <w:szCs w:val="32"/>
          <w:u w:val="single"/>
        </w:rPr>
        <w:br w:type="page"/>
      </w:r>
    </w:p>
    <w:p w14:paraId="16F2859E" w14:textId="2D187EF7" w:rsidR="3842B804" w:rsidRDefault="3842B804" w:rsidP="003463F6">
      <w:pPr>
        <w:pStyle w:val="Heading2"/>
      </w:pPr>
      <w:r w:rsidRPr="00485D04">
        <w:rPr>
          <w:rStyle w:val="Heading2Char"/>
          <w:b/>
          <w:bCs/>
          <w:sz w:val="32"/>
          <w:szCs w:val="32"/>
          <w:u w:val="single"/>
        </w:rPr>
        <w:lastRenderedPageBreak/>
        <w:t>Peaceful and inclusive societies</w:t>
      </w:r>
      <w:bookmarkEnd w:id="31"/>
    </w:p>
    <w:p w14:paraId="2F26685E" w14:textId="325B9126" w:rsidR="00485D04" w:rsidRPr="001D0D90" w:rsidRDefault="00485D04" w:rsidP="001D0D90">
      <w:pPr>
        <w:pStyle w:val="Heading3"/>
        <w:rPr>
          <w:b/>
          <w:u w:val="single"/>
        </w:rPr>
      </w:pPr>
      <w:bookmarkStart w:id="32" w:name="_Toc169709893"/>
      <w:r w:rsidRPr="001019D4">
        <w:rPr>
          <w:b/>
          <w:bCs/>
        </w:rPr>
        <w:t>A.</w:t>
      </w:r>
      <w:r w:rsidRPr="001019D4">
        <w:rPr>
          <w:b/>
          <w:bCs/>
        </w:rPr>
        <w:tab/>
      </w:r>
      <w:r w:rsidR="003D294F" w:rsidRPr="001019D4">
        <w:rPr>
          <w:b/>
          <w:bCs/>
          <w:u w:val="single"/>
        </w:rPr>
        <w:t xml:space="preserve">Women, </w:t>
      </w:r>
      <w:r w:rsidR="00B50AFF">
        <w:rPr>
          <w:b/>
          <w:bCs/>
          <w:u w:val="single"/>
        </w:rPr>
        <w:t>P</w:t>
      </w:r>
      <w:r w:rsidR="003D294F" w:rsidRPr="001019D4">
        <w:rPr>
          <w:b/>
          <w:bCs/>
          <w:u w:val="single"/>
        </w:rPr>
        <w:t xml:space="preserve">eace, and </w:t>
      </w:r>
      <w:r w:rsidR="00B50AFF">
        <w:rPr>
          <w:b/>
          <w:bCs/>
          <w:u w:val="single"/>
        </w:rPr>
        <w:t>S</w:t>
      </w:r>
      <w:r w:rsidR="003D294F" w:rsidRPr="001019D4">
        <w:rPr>
          <w:b/>
          <w:bCs/>
          <w:u w:val="single"/>
        </w:rPr>
        <w:t>ecurity</w:t>
      </w:r>
      <w:bookmarkEnd w:id="32"/>
      <w:r w:rsidR="003D294F" w:rsidRPr="001019D4">
        <w:rPr>
          <w:b/>
          <w:bCs/>
          <w:u w:val="single"/>
        </w:rPr>
        <w:t xml:space="preserve"> </w:t>
      </w:r>
    </w:p>
    <w:p w14:paraId="59D4829D" w14:textId="6EE7AD9B" w:rsidR="00A42D47" w:rsidRPr="001019D4" w:rsidRDefault="007E4AB0" w:rsidP="0045392A">
      <w:pPr>
        <w:pStyle w:val="ListParagraph"/>
        <w:numPr>
          <w:ilvl w:val="0"/>
          <w:numId w:val="29"/>
        </w:numPr>
        <w:rPr>
          <w:b/>
          <w:bCs/>
        </w:rPr>
      </w:pPr>
      <w:r w:rsidRPr="001019D4">
        <w:rPr>
          <w:b/>
          <w:bCs/>
        </w:rPr>
        <w:t>Actions taken to</w:t>
      </w:r>
      <w:r w:rsidR="00AD7605" w:rsidRPr="001019D4">
        <w:rPr>
          <w:b/>
          <w:bCs/>
        </w:rPr>
        <w:t xml:space="preserve"> build and sustain peace, promote peaceful and inclusive societies for sustainable development, and</w:t>
      </w:r>
      <w:r w:rsidRPr="001019D4">
        <w:rPr>
          <w:b/>
          <w:bCs/>
        </w:rPr>
        <w:t xml:space="preserve"> implement the w</w:t>
      </w:r>
      <w:r w:rsidR="0081175F" w:rsidRPr="001019D4">
        <w:rPr>
          <w:b/>
          <w:bCs/>
        </w:rPr>
        <w:t>omen, peace, and security agenda</w:t>
      </w:r>
      <w:r w:rsidR="00140A02" w:rsidRPr="001019D4">
        <w:rPr>
          <w:b/>
          <w:bCs/>
        </w:rPr>
        <w:t xml:space="preserve"> </w:t>
      </w:r>
    </w:p>
    <w:p w14:paraId="4C401EF9" w14:textId="12E04EF5" w:rsidR="00F42AC5" w:rsidRDefault="00DB79D8" w:rsidP="0057765C">
      <w:pPr>
        <w:jc w:val="both"/>
        <w:rPr>
          <w:lang w:val="en-GB"/>
        </w:rPr>
      </w:pPr>
      <w:r>
        <w:rPr>
          <w:rFonts w:eastAsia="DengXian"/>
          <w:lang w:eastAsia="zh-CN"/>
        </w:rPr>
        <w:t>Singapore’s</w:t>
      </w:r>
      <w:r w:rsidR="00F42AC5" w:rsidRPr="00F42AC5">
        <w:rPr>
          <w:rFonts w:eastAsia="DengXian"/>
          <w:lang w:eastAsia="zh-CN"/>
        </w:rPr>
        <w:t xml:space="preserve"> implementation of the </w:t>
      </w:r>
      <w:r w:rsidR="00D87FB9" w:rsidRPr="00F42AC5">
        <w:rPr>
          <w:rFonts w:eastAsia="DengXian"/>
          <w:lang w:eastAsia="zh-CN"/>
        </w:rPr>
        <w:t>Women, Peace and Security (WPS)</w:t>
      </w:r>
      <w:r>
        <w:rPr>
          <w:rFonts w:eastAsia="DengXian"/>
          <w:lang w:eastAsia="zh-CN"/>
        </w:rPr>
        <w:t xml:space="preserve"> </w:t>
      </w:r>
      <w:r w:rsidR="00F42AC5" w:rsidRPr="00F42AC5">
        <w:rPr>
          <w:rFonts w:eastAsia="DengXian"/>
          <w:lang w:eastAsia="zh-CN"/>
        </w:rPr>
        <w:t xml:space="preserve">agenda is largely driven through ASEAN platforms, particularly the ASEAN Regional Plan of Action on WPS. Through this plan, we work closely with our </w:t>
      </w:r>
      <w:r w:rsidR="00D32B27" w:rsidRPr="00F42AC5">
        <w:rPr>
          <w:rFonts w:eastAsia="DengXian"/>
          <w:lang w:eastAsia="zh-CN"/>
        </w:rPr>
        <w:t>neighbours</w:t>
      </w:r>
      <w:r w:rsidR="00F42AC5" w:rsidRPr="00F42AC5">
        <w:rPr>
          <w:rFonts w:eastAsia="DengXian"/>
          <w:lang w:eastAsia="zh-CN"/>
        </w:rPr>
        <w:t xml:space="preserve"> to share best practices and create </w:t>
      </w:r>
      <w:r w:rsidR="00F42AC5" w:rsidRPr="00F42AC5">
        <w:rPr>
          <w:lang w:val="en-GB"/>
        </w:rPr>
        <w:t xml:space="preserve">collaborative partnerships to further promote women’s participation and leadership in preventing conflicts and sustaining peace. </w:t>
      </w:r>
    </w:p>
    <w:p w14:paraId="3AC2F1EB" w14:textId="37D040D2" w:rsidR="00E14B57" w:rsidRDefault="0066391F" w:rsidP="0057765C">
      <w:pPr>
        <w:spacing w:line="259" w:lineRule="auto"/>
        <w:jc w:val="both"/>
        <w:rPr>
          <w:rFonts w:cs="Arial"/>
        </w:rPr>
      </w:pPr>
      <w:r w:rsidRPr="0066391F">
        <w:rPr>
          <w:rFonts w:cs="Arial"/>
        </w:rPr>
        <w:t xml:space="preserve">We participate actively </w:t>
      </w:r>
      <w:r w:rsidR="00E14B57" w:rsidRPr="00E14B57">
        <w:rPr>
          <w:rFonts w:cs="Arial"/>
        </w:rPr>
        <w:t xml:space="preserve">in regional discussions to advance the WPS agenda. Most recently, this was at the 10th ASEAN Defence Ministers’ Meeting </w:t>
      </w:r>
      <w:r w:rsidR="00080B80">
        <w:rPr>
          <w:rFonts w:cs="Arial"/>
        </w:rPr>
        <w:t xml:space="preserve">Plus </w:t>
      </w:r>
      <w:r w:rsidR="2A4163A2" w:rsidRPr="30ED6EAC">
        <w:rPr>
          <w:rFonts w:cs="Arial"/>
        </w:rPr>
        <w:t>(</w:t>
      </w:r>
      <w:r w:rsidR="2A4163A2" w:rsidRPr="19CEC3B0">
        <w:rPr>
          <w:rFonts w:cs="Arial"/>
        </w:rPr>
        <w:t>ADMM-</w:t>
      </w:r>
      <w:r w:rsidR="00E14B57" w:rsidRPr="00E14B57">
        <w:rPr>
          <w:rFonts w:cs="Arial"/>
        </w:rPr>
        <w:t>Plus</w:t>
      </w:r>
      <w:r w:rsidR="00080B80">
        <w:rPr>
          <w:rFonts w:cs="Arial"/>
        </w:rPr>
        <w:t>)</w:t>
      </w:r>
      <w:r w:rsidR="00E14B57" w:rsidRPr="00E14B57">
        <w:rPr>
          <w:rFonts w:cs="Arial"/>
        </w:rPr>
        <w:t xml:space="preserve"> in November 2023, during which a Joint Statement on WPS was adopted</w:t>
      </w:r>
      <w:r w:rsidR="00304180">
        <w:rPr>
          <w:rFonts w:cs="Arial"/>
        </w:rPr>
        <w:t xml:space="preserve"> by the ADMM-Plus ministers</w:t>
      </w:r>
      <w:r w:rsidR="00E14B57" w:rsidRPr="00E14B57">
        <w:rPr>
          <w:rFonts w:cs="Arial"/>
        </w:rPr>
        <w:t xml:space="preserve">. Among other things, Singapore and </w:t>
      </w:r>
      <w:r w:rsidR="0A57280D" w:rsidRPr="1AAF9C73">
        <w:rPr>
          <w:rFonts w:cs="Arial"/>
        </w:rPr>
        <w:t xml:space="preserve">the </w:t>
      </w:r>
      <w:r w:rsidR="00E14B57" w:rsidRPr="00E14B57">
        <w:rPr>
          <w:rFonts w:cs="Arial"/>
        </w:rPr>
        <w:t>other Defence Ministers reaffirmed the</w:t>
      </w:r>
      <w:r w:rsidR="00460A70">
        <w:rPr>
          <w:rFonts w:cs="Arial"/>
        </w:rPr>
        <w:t>ir</w:t>
      </w:r>
      <w:r w:rsidR="00E14B57" w:rsidRPr="00E14B57">
        <w:rPr>
          <w:rFonts w:cs="Arial"/>
        </w:rPr>
        <w:t xml:space="preserve"> </w:t>
      </w:r>
      <w:r w:rsidR="008041AD">
        <w:rPr>
          <w:rFonts w:cs="Arial"/>
        </w:rPr>
        <w:t>commitment</w:t>
      </w:r>
      <w:r w:rsidR="00E14B57" w:rsidRPr="00E14B57">
        <w:rPr>
          <w:rFonts w:cs="Arial"/>
        </w:rPr>
        <w:t xml:space="preserve"> towards </w:t>
      </w:r>
      <w:r w:rsidR="008041AD">
        <w:rPr>
          <w:rFonts w:cs="Arial"/>
        </w:rPr>
        <w:t>promoting</w:t>
      </w:r>
      <w:r w:rsidR="00E14B57" w:rsidRPr="00E14B57">
        <w:rPr>
          <w:rFonts w:cs="Arial"/>
        </w:rPr>
        <w:t xml:space="preserve"> equal opportunities for women in the defence sector.</w:t>
      </w:r>
    </w:p>
    <w:p w14:paraId="748F98C9" w14:textId="0243A280" w:rsidR="00F42AC5" w:rsidRPr="00B50BEE" w:rsidRDefault="00B834A4" w:rsidP="00B50BEE">
      <w:pPr>
        <w:spacing w:line="259" w:lineRule="auto"/>
        <w:jc w:val="both"/>
        <w:rPr>
          <w:lang w:val="en-GB"/>
        </w:rPr>
      </w:pPr>
      <w:r w:rsidRPr="0037371E">
        <w:rPr>
          <w:lang w:val="en-GB"/>
        </w:rPr>
        <w:t>Outside of ASEAN, we are a member of the Group of Friends of WPS in New York, which brings together like-minded states to discuss and coordinate positions on WPS issues at the UN. In 2023, Singapore joined the call for the UN to set a standard requiring women to comprise half of all personnel involved in peace-setting processes as well as to urge the UN Security Council to consider targeted sanctions against those who perpetuate sexual and gender-based violence in armed conflict.</w:t>
      </w:r>
    </w:p>
    <w:p w14:paraId="73A7BEF7" w14:textId="04C7528B" w:rsidR="0081175F" w:rsidRPr="00485D04" w:rsidRDefault="00AD7605" w:rsidP="00A856F8">
      <w:pPr>
        <w:pStyle w:val="ListParagraph"/>
        <w:numPr>
          <w:ilvl w:val="0"/>
          <w:numId w:val="29"/>
        </w:numPr>
        <w:jc w:val="both"/>
        <w:rPr>
          <w:b/>
          <w:bCs/>
        </w:rPr>
      </w:pPr>
      <w:r w:rsidRPr="001019D4">
        <w:rPr>
          <w:b/>
          <w:bCs/>
        </w:rPr>
        <w:t>Actions taken to increase leadership, r</w:t>
      </w:r>
      <w:r w:rsidR="0018002A" w:rsidRPr="001019D4">
        <w:rPr>
          <w:b/>
          <w:bCs/>
        </w:rPr>
        <w:t>epresentation</w:t>
      </w:r>
      <w:r w:rsidRPr="001019D4">
        <w:rPr>
          <w:b/>
          <w:bCs/>
        </w:rPr>
        <w:t>, and participation</w:t>
      </w:r>
      <w:r w:rsidR="0018002A" w:rsidRPr="001019D4">
        <w:rPr>
          <w:b/>
          <w:bCs/>
        </w:rPr>
        <w:t xml:space="preserve"> of women in</w:t>
      </w:r>
      <w:r w:rsidR="00421CE6" w:rsidRPr="001019D4">
        <w:rPr>
          <w:b/>
          <w:bCs/>
        </w:rPr>
        <w:t xml:space="preserve"> conflict prevention, peacebuilding, humanitarian action</w:t>
      </w:r>
      <w:r w:rsidRPr="001019D4">
        <w:rPr>
          <w:b/>
          <w:bCs/>
        </w:rPr>
        <w:t xml:space="preserve"> and crisis response</w:t>
      </w:r>
      <w:r w:rsidR="00B64B07" w:rsidRPr="001019D4">
        <w:rPr>
          <w:b/>
          <w:bCs/>
        </w:rPr>
        <w:t xml:space="preserve">, </w:t>
      </w:r>
      <w:r w:rsidR="00B64B07" w:rsidRPr="001019D4">
        <w:rPr>
          <w:b/>
          <w:bCs/>
          <w:lang w:val="en-GB"/>
        </w:rPr>
        <w:t>at decision-making levels in situations of armed and other conflicts, and in fragile or crisis settings</w:t>
      </w:r>
      <w:r w:rsidR="00D26AF2" w:rsidRPr="001019D4">
        <w:rPr>
          <w:b/>
          <w:bCs/>
          <w:lang w:val="en-GB"/>
        </w:rPr>
        <w:t xml:space="preserve"> </w:t>
      </w:r>
    </w:p>
    <w:p w14:paraId="4FDD3CA2" w14:textId="6F364F80" w:rsidR="00FA5FC9" w:rsidRDefault="00FA5FC9" w:rsidP="00A856F8">
      <w:pPr>
        <w:jc w:val="both"/>
      </w:pPr>
      <w:r w:rsidRPr="00FA5FC9">
        <w:t xml:space="preserve">Singapore is committed </w:t>
      </w:r>
      <w:r w:rsidR="00FA7E07">
        <w:t xml:space="preserve">to </w:t>
      </w:r>
      <w:r w:rsidRPr="00FA5FC9">
        <w:t>ensuring that women are empowered to lead and participate in peace and development issues across the region.</w:t>
      </w:r>
    </w:p>
    <w:p w14:paraId="07763CF3" w14:textId="3282C4B6" w:rsidR="00714FB0" w:rsidRPr="005F1650" w:rsidRDefault="00714FB0" w:rsidP="001019D4">
      <w:pPr>
        <w:spacing w:line="259" w:lineRule="auto"/>
        <w:jc w:val="both"/>
        <w:rPr>
          <w:rFonts w:cs="Arial"/>
        </w:rPr>
      </w:pPr>
      <w:r w:rsidRPr="00714FB0">
        <w:rPr>
          <w:rFonts w:cs="Arial"/>
        </w:rPr>
        <w:t>Singapore’s approach to empowering women is founded on the principle of meritocracy, where equal opportunities are afforded to men and women. We believe that this allows our women to be recognised for their own abilities and avoids tokenism.</w:t>
      </w:r>
      <w:r w:rsidR="005F1650">
        <w:rPr>
          <w:rFonts w:cs="Arial"/>
        </w:rPr>
        <w:t xml:space="preserve"> </w:t>
      </w:r>
    </w:p>
    <w:p w14:paraId="6FE24AA1" w14:textId="2B6F5302" w:rsidR="00714FB0" w:rsidRPr="005F1650" w:rsidRDefault="3ACA96BD" w:rsidP="6194DC18">
      <w:pPr>
        <w:spacing w:line="259" w:lineRule="auto"/>
        <w:jc w:val="both"/>
        <w:rPr>
          <w:rFonts w:cs="Arial"/>
        </w:rPr>
      </w:pPr>
      <w:r w:rsidRPr="09FD5841">
        <w:rPr>
          <w:rFonts w:cs="Arial"/>
        </w:rPr>
        <w:t>For instance</w:t>
      </w:r>
      <w:r w:rsidR="005F1650" w:rsidRPr="005F1650">
        <w:rPr>
          <w:rFonts w:cs="Arial"/>
        </w:rPr>
        <w:t>, half of our foreign service officers are women. The proportion of female officers in senior leadership positions, including Ambassadors, doubled from 15% in 2010 to 31% in 2023.</w:t>
      </w:r>
    </w:p>
    <w:p w14:paraId="1967C898" w14:textId="76C0686A" w:rsidR="00300863" w:rsidRDefault="00300863" w:rsidP="00A856F8">
      <w:pPr>
        <w:jc w:val="both"/>
      </w:pPr>
      <w:r>
        <w:t xml:space="preserve">Career progression within the Singapore Armed Forces (SAF) is meritocratic and based on the principle of “best person for the job”. </w:t>
      </w:r>
      <w:r w:rsidR="004B797D">
        <w:t>The Ministry of Defence</w:t>
      </w:r>
      <w:r>
        <w:t xml:space="preserve"> and the SAF are committed to providing fulfilling professions for our servicewomen, and today, there are more than </w:t>
      </w:r>
      <w:r w:rsidR="006073FF">
        <w:t xml:space="preserve">1,700 </w:t>
      </w:r>
      <w:r>
        <w:t xml:space="preserve">uniformed servicewomen serving in the SAF, comprising around </w:t>
      </w:r>
      <w:r w:rsidR="00FA7E07">
        <w:t>8%</w:t>
      </w:r>
      <w:r>
        <w:t xml:space="preserve"> of the uniformed regulars. Servicewomen in the SAF take on a diverse range of roles, such as combat engineers, infantry, pilots</w:t>
      </w:r>
      <w:r w:rsidR="00FA7E07">
        <w:t>,</w:t>
      </w:r>
      <w:r>
        <w:t xml:space="preserve"> and naval officers, and they have also contributed to the success of many of our multinational peace support operations. </w:t>
      </w:r>
    </w:p>
    <w:p w14:paraId="247E2F76" w14:textId="66301AD0" w:rsidR="008B1DDC" w:rsidRDefault="00300863" w:rsidP="002E1254">
      <w:pPr>
        <w:jc w:val="both"/>
      </w:pPr>
      <w:r>
        <w:t>Female police officers have been involved in United Nations operations since 1998, in which the first female officer was deployed for the UN Joint International Observers' Group to Cambodia. In 2007, we also had the first female commander to lead a 20-members contingent of the Singapore Police Force (SPF) to the United Nations Integrated Mission in Timor-Leste (UNMIT).</w:t>
      </w:r>
    </w:p>
    <w:p w14:paraId="26A36B52" w14:textId="693995D0" w:rsidR="0037203C" w:rsidRPr="00B50BEE" w:rsidRDefault="00485D04" w:rsidP="00B50BEE">
      <w:pPr>
        <w:pStyle w:val="Heading3"/>
        <w:rPr>
          <w:b/>
          <w:bCs/>
          <w:u w:val="single"/>
        </w:rPr>
      </w:pPr>
      <w:bookmarkStart w:id="33" w:name="_Toc169709894"/>
      <w:r>
        <w:rPr>
          <w:b/>
          <w:bCs/>
        </w:rPr>
        <w:lastRenderedPageBreak/>
        <w:t>B.</w:t>
      </w:r>
      <w:r>
        <w:rPr>
          <w:b/>
          <w:bCs/>
        </w:rPr>
        <w:tab/>
      </w:r>
      <w:r w:rsidR="00880A1E" w:rsidRPr="00674AF0">
        <w:rPr>
          <w:b/>
          <w:bCs/>
          <w:u w:val="single"/>
        </w:rPr>
        <w:t xml:space="preserve">International </w:t>
      </w:r>
      <w:r w:rsidR="00717B44">
        <w:rPr>
          <w:b/>
          <w:bCs/>
          <w:u w:val="single"/>
        </w:rPr>
        <w:t>H</w:t>
      </w:r>
      <w:r w:rsidR="00880A1E" w:rsidRPr="00674AF0">
        <w:rPr>
          <w:b/>
          <w:bCs/>
          <w:u w:val="single"/>
        </w:rPr>
        <w:t xml:space="preserve">umanitarian </w:t>
      </w:r>
      <w:r w:rsidR="00717B44">
        <w:rPr>
          <w:b/>
          <w:bCs/>
          <w:u w:val="single"/>
        </w:rPr>
        <w:t>L</w:t>
      </w:r>
      <w:r w:rsidR="00880A1E" w:rsidRPr="00674AF0">
        <w:rPr>
          <w:b/>
          <w:bCs/>
          <w:u w:val="single"/>
        </w:rPr>
        <w:t>aw</w:t>
      </w:r>
      <w:bookmarkEnd w:id="33"/>
      <w:r w:rsidR="00880A1E" w:rsidRPr="00674AF0">
        <w:rPr>
          <w:b/>
          <w:bCs/>
          <w:u w:val="single"/>
        </w:rPr>
        <w:t xml:space="preserve"> </w:t>
      </w:r>
    </w:p>
    <w:p w14:paraId="669A64E9" w14:textId="21EC9322" w:rsidR="00485D04" w:rsidRPr="00935963" w:rsidRDefault="00485D04" w:rsidP="0045392A">
      <w:pPr>
        <w:pStyle w:val="ListParagraph"/>
        <w:numPr>
          <w:ilvl w:val="0"/>
          <w:numId w:val="30"/>
        </w:numPr>
        <w:rPr>
          <w:b/>
          <w:bCs/>
        </w:rPr>
      </w:pPr>
      <w:r w:rsidRPr="00935963">
        <w:rPr>
          <w:b/>
          <w:bCs/>
        </w:rPr>
        <w:t>Measures to combat illicit arms trafficking</w:t>
      </w:r>
      <w:r w:rsidRPr="00935963">
        <w:rPr>
          <w:b/>
        </w:rPr>
        <w:t xml:space="preserve"> </w:t>
      </w:r>
    </w:p>
    <w:p w14:paraId="65C2CCB5" w14:textId="31234C06" w:rsidR="00A83167" w:rsidRPr="004B0B78" w:rsidRDefault="00A83167" w:rsidP="005B2D1F">
      <w:pPr>
        <w:suppressAutoHyphens/>
        <w:spacing w:before="120" w:after="120" w:line="240" w:lineRule="auto"/>
        <w:jc w:val="both"/>
        <w:rPr>
          <w:rFonts w:cs="Arial"/>
        </w:rPr>
      </w:pPr>
      <w:r w:rsidRPr="09E2E5D3">
        <w:rPr>
          <w:rFonts w:cs="Arial"/>
        </w:rPr>
        <w:t xml:space="preserve">As a global transit and </w:t>
      </w:r>
      <w:r w:rsidR="00DA08DA" w:rsidRPr="09E2E5D3">
        <w:rPr>
          <w:rFonts w:cs="Arial"/>
        </w:rPr>
        <w:t>transshipment</w:t>
      </w:r>
      <w:r w:rsidRPr="09E2E5D3">
        <w:rPr>
          <w:rFonts w:cs="Arial"/>
        </w:rPr>
        <w:t xml:space="preserve"> hub, we are cognisant of the important role we play in international regulatory efforts. </w:t>
      </w:r>
    </w:p>
    <w:p w14:paraId="53933EC8" w14:textId="402D1BE0" w:rsidR="00331D01" w:rsidRPr="005319DD" w:rsidRDefault="00331D01" w:rsidP="005B2D1F">
      <w:pPr>
        <w:suppressAutoHyphens/>
        <w:spacing w:before="120" w:after="120" w:line="240" w:lineRule="auto"/>
        <w:jc w:val="both"/>
        <w:rPr>
          <w:rFonts w:cs="Arial"/>
        </w:rPr>
      </w:pPr>
      <w:r w:rsidRPr="5AE1CF63">
        <w:rPr>
          <w:rFonts w:cs="Arial"/>
        </w:rPr>
        <w:t>To regulate the transfer of arms, Singapore has a robust export control regime underpinned by three main pieces of legislation, namely the:</w:t>
      </w:r>
    </w:p>
    <w:p w14:paraId="52DC5B0B" w14:textId="77777777" w:rsidR="00331D01" w:rsidRPr="005319DD" w:rsidRDefault="00331D01" w:rsidP="0045392A">
      <w:pPr>
        <w:pStyle w:val="ListParagraph"/>
        <w:numPr>
          <w:ilvl w:val="0"/>
          <w:numId w:val="8"/>
        </w:numPr>
        <w:spacing w:before="120" w:after="120" w:line="240" w:lineRule="auto"/>
        <w:jc w:val="both"/>
        <w:rPr>
          <w:rFonts w:cs="Arial"/>
        </w:rPr>
      </w:pPr>
      <w:r w:rsidRPr="5AE1CF63">
        <w:rPr>
          <w:rFonts w:cs="Arial"/>
        </w:rPr>
        <w:t xml:space="preserve">Strategic Goods (Control) Act 2002, </w:t>
      </w:r>
    </w:p>
    <w:p w14:paraId="6A9D8D69" w14:textId="77777777" w:rsidR="00331D01" w:rsidRPr="005319DD" w:rsidRDefault="00331D01" w:rsidP="0045392A">
      <w:pPr>
        <w:pStyle w:val="ListParagraph"/>
        <w:numPr>
          <w:ilvl w:val="0"/>
          <w:numId w:val="8"/>
        </w:numPr>
        <w:spacing w:before="120" w:after="120" w:line="240" w:lineRule="auto"/>
        <w:jc w:val="both"/>
        <w:rPr>
          <w:rFonts w:cs="Arial"/>
        </w:rPr>
      </w:pPr>
      <w:r w:rsidRPr="5AE1CF63">
        <w:rPr>
          <w:rFonts w:cs="Arial"/>
        </w:rPr>
        <w:t xml:space="preserve">Regulation of Imports and Exports Act 1995, and </w:t>
      </w:r>
    </w:p>
    <w:p w14:paraId="3946DBDF" w14:textId="77777777" w:rsidR="00331D01" w:rsidRPr="004B0B78" w:rsidRDefault="00331D01" w:rsidP="0045392A">
      <w:pPr>
        <w:pStyle w:val="ListParagraph"/>
        <w:numPr>
          <w:ilvl w:val="0"/>
          <w:numId w:val="8"/>
        </w:numPr>
        <w:spacing w:before="120" w:after="120" w:line="240" w:lineRule="auto"/>
        <w:jc w:val="both"/>
        <w:rPr>
          <w:rFonts w:cs="Arial"/>
        </w:rPr>
      </w:pPr>
      <w:r w:rsidRPr="5AE1CF63">
        <w:rPr>
          <w:rFonts w:cs="Arial"/>
        </w:rPr>
        <w:t xml:space="preserve">the Arms and Explosives Act 1913. </w:t>
      </w:r>
    </w:p>
    <w:p w14:paraId="4A29BA97" w14:textId="0ADBC5D6" w:rsidR="00EE2021" w:rsidRPr="00B50BEE" w:rsidRDefault="00412F26" w:rsidP="00B50BEE">
      <w:pPr>
        <w:pStyle w:val="gmail-p"/>
        <w:suppressAutoHyphens/>
        <w:spacing w:before="120" w:beforeAutospacing="0" w:after="120" w:afterAutospacing="0"/>
        <w:ind w:left="0"/>
        <w:rPr>
          <w:rFonts w:asciiTheme="minorHAnsi" w:eastAsiaTheme="minorHAnsi" w:hAnsiTheme="minorHAnsi" w:cstheme="minorHAnsi"/>
          <w:sz w:val="22"/>
          <w:szCs w:val="20"/>
          <w:lang w:val="en-US" w:eastAsia="en-US"/>
        </w:rPr>
      </w:pPr>
      <w:r w:rsidRPr="00412F26">
        <w:rPr>
          <w:rFonts w:asciiTheme="minorHAnsi" w:eastAsiaTheme="minorHAnsi" w:hAnsiTheme="minorHAnsi" w:cstheme="minorHAnsi"/>
          <w:sz w:val="22"/>
          <w:szCs w:val="20"/>
          <w:lang w:val="en-US" w:eastAsia="en-US"/>
        </w:rPr>
        <w:t>We regularly review and update our export control regime to ensure that Singapore remains fully compliant with our international obligations on arms transfers, to contribute to the eradication of the illicit arms trade and armed violence against civilians, indiscriminate of gender.</w:t>
      </w:r>
    </w:p>
    <w:p w14:paraId="6B506CDF" w14:textId="125058BA" w:rsidR="008E3F24" w:rsidRPr="00485D04" w:rsidRDefault="008E3F24" w:rsidP="0045392A">
      <w:pPr>
        <w:pStyle w:val="ListParagraph"/>
        <w:numPr>
          <w:ilvl w:val="0"/>
          <w:numId w:val="30"/>
        </w:numPr>
        <w:rPr>
          <w:b/>
          <w:bCs/>
        </w:rPr>
      </w:pPr>
      <w:r w:rsidRPr="00485D04">
        <w:rPr>
          <w:b/>
          <w:bCs/>
        </w:rPr>
        <w:t>Measures to combat drugs</w:t>
      </w:r>
      <w:r w:rsidR="0055209B" w:rsidRPr="00485D04">
        <w:rPr>
          <w:b/>
        </w:rPr>
        <w:t xml:space="preserve"> </w:t>
      </w:r>
    </w:p>
    <w:p w14:paraId="7E10C00F" w14:textId="6278921B" w:rsidR="00CE056D" w:rsidRDefault="00CE056D" w:rsidP="0002569E">
      <w:r>
        <w:t xml:space="preserve">Singapore is committed to </w:t>
      </w:r>
      <w:r w:rsidR="00EC1EAA">
        <w:t>achieving</w:t>
      </w:r>
      <w:r>
        <w:t xml:space="preserve"> a drug-free society. </w:t>
      </w:r>
    </w:p>
    <w:p w14:paraId="7EDC17E4" w14:textId="7E54BB76" w:rsidR="00FE4763" w:rsidRDefault="0002569E" w:rsidP="00C17762">
      <w:r w:rsidRPr="35D892C8">
        <w:t xml:space="preserve">Singapore’s drug-control strategy is </w:t>
      </w:r>
      <w:r w:rsidR="00175973" w:rsidRPr="35D892C8">
        <w:t>targeted</w:t>
      </w:r>
      <w:r w:rsidRPr="35D892C8">
        <w:t xml:space="preserve"> at reducing both drug supply and demand. </w:t>
      </w:r>
      <w:r w:rsidR="00FE4763" w:rsidRPr="35D892C8">
        <w:t xml:space="preserve">Our strategy involves a suite of mutually reinforcing measures. All of them are needed to work together – </w:t>
      </w:r>
      <w:r w:rsidR="00F549C7" w:rsidRPr="35D892C8">
        <w:t xml:space="preserve">preventive drug education, </w:t>
      </w:r>
      <w:r w:rsidR="00FE4763" w:rsidRPr="35D892C8">
        <w:t xml:space="preserve">tough laws and </w:t>
      </w:r>
      <w:r w:rsidR="00F549C7" w:rsidRPr="35D892C8">
        <w:t xml:space="preserve">robust </w:t>
      </w:r>
      <w:r w:rsidR="00FE4763" w:rsidRPr="35D892C8">
        <w:t xml:space="preserve">enforcement, </w:t>
      </w:r>
      <w:r w:rsidR="00170116" w:rsidRPr="35D892C8">
        <w:t xml:space="preserve">evidence-based </w:t>
      </w:r>
      <w:r w:rsidR="00FE4763" w:rsidRPr="35D892C8">
        <w:t xml:space="preserve">rehabilitation and </w:t>
      </w:r>
      <w:r w:rsidR="00170116" w:rsidRPr="35D892C8">
        <w:t>reintegration</w:t>
      </w:r>
      <w:r w:rsidR="00FE4763" w:rsidRPr="35D892C8">
        <w:t>.</w:t>
      </w:r>
      <w:r w:rsidR="009E42CB" w:rsidRPr="35D892C8">
        <w:t xml:space="preserve"> </w:t>
      </w:r>
    </w:p>
    <w:p w14:paraId="7BE4BB6C" w14:textId="10BAA405" w:rsidR="00C17762" w:rsidRPr="00485D04" w:rsidRDefault="0002569E" w:rsidP="0045392A">
      <w:pPr>
        <w:pStyle w:val="ListParagraph"/>
        <w:numPr>
          <w:ilvl w:val="0"/>
          <w:numId w:val="31"/>
        </w:numPr>
        <w:rPr>
          <w:i/>
          <w:iCs/>
        </w:rPr>
      </w:pPr>
      <w:r w:rsidRPr="00485D04">
        <w:rPr>
          <w:i/>
          <w:iCs/>
        </w:rPr>
        <w:t>Preventive Drug Education (PDE)</w:t>
      </w:r>
      <w:r w:rsidR="00140DAE" w:rsidRPr="00485D04">
        <w:rPr>
          <w:i/>
          <w:iCs/>
        </w:rPr>
        <w:t xml:space="preserve"> </w:t>
      </w:r>
    </w:p>
    <w:p w14:paraId="36B97AB0" w14:textId="706D0487" w:rsidR="0002569E" w:rsidRDefault="00485FC7" w:rsidP="005B2D1F">
      <w:pPr>
        <w:jc w:val="both"/>
      </w:pPr>
      <w:r w:rsidRPr="0002569E">
        <w:t>P</w:t>
      </w:r>
      <w:r>
        <w:t xml:space="preserve">reventive </w:t>
      </w:r>
      <w:r w:rsidRPr="0002569E">
        <w:t>D</w:t>
      </w:r>
      <w:r>
        <w:t xml:space="preserve">rug </w:t>
      </w:r>
      <w:r w:rsidRPr="0002569E">
        <w:t>E</w:t>
      </w:r>
      <w:r>
        <w:t>ducation (PDE) is a key tenet of the</w:t>
      </w:r>
      <w:r w:rsidR="006E27BF" w:rsidRPr="006E27BF">
        <w:t xml:space="preserve"> Central Narcotics Bureau (CNB)</w:t>
      </w:r>
      <w:r>
        <w:t xml:space="preserve">’s </w:t>
      </w:r>
      <w:r w:rsidR="00A422F6">
        <w:t>mission to enforce, educate and engage our people for a drug-free Singapore. Singapore’s overarching anti-drug strategy is harm prevention, where prevention is on the forefront to ensure a Singapore without drugs, where everyone can live, work</w:t>
      </w:r>
      <w:r w:rsidR="001D0D90">
        <w:t>,</w:t>
      </w:r>
      <w:r w:rsidR="00A422F6">
        <w:t xml:space="preserve"> and play safely.</w:t>
      </w:r>
      <w:r w:rsidR="00C17762">
        <w:t xml:space="preserve"> </w:t>
      </w:r>
    </w:p>
    <w:p w14:paraId="77003F8D" w14:textId="43D43121" w:rsidR="005A6AA0" w:rsidRDefault="005A6AA0" w:rsidP="005B2D1F">
      <w:pPr>
        <w:jc w:val="both"/>
        <w:rPr>
          <w:b/>
        </w:rPr>
      </w:pPr>
      <w:r w:rsidRPr="005A6AA0">
        <w:t>In this effort, we work in close collaboration with key partners and stakeholders</w:t>
      </w:r>
      <w:r w:rsidR="00FB268D">
        <w:t>.</w:t>
      </w:r>
      <w:r w:rsidR="007E4A12">
        <w:t xml:space="preserve"> </w:t>
      </w:r>
    </w:p>
    <w:p w14:paraId="2A4F1357" w14:textId="49D00A45" w:rsidR="00580248" w:rsidRPr="005A6AA0" w:rsidRDefault="00580248" w:rsidP="005B2D1F">
      <w:pPr>
        <w:jc w:val="both"/>
      </w:pPr>
      <w:r>
        <w:t>T</w:t>
      </w:r>
      <w:r w:rsidRPr="005A6AA0">
        <w:t xml:space="preserve">o inculcate </w:t>
      </w:r>
      <w:r>
        <w:t xml:space="preserve">in </w:t>
      </w:r>
      <w:r w:rsidRPr="005A6AA0">
        <w:t>primary</w:t>
      </w:r>
      <w:r>
        <w:t>,</w:t>
      </w:r>
      <w:r w:rsidRPr="005A6AA0">
        <w:t xml:space="preserve"> secondary</w:t>
      </w:r>
      <w:r>
        <w:t xml:space="preserve"> and post-secondary</w:t>
      </w:r>
      <w:r w:rsidRPr="005A6AA0">
        <w:t xml:space="preserve"> school students </w:t>
      </w:r>
      <w:r>
        <w:t>the importance of living a drug-free life</w:t>
      </w:r>
      <w:r w:rsidRPr="005A6AA0">
        <w:t xml:space="preserve"> from young,</w:t>
      </w:r>
      <w:r>
        <w:t xml:space="preserve"> anti-drug and healthy lifestyle content is incorporated into school curricula for students from Primary 4. School-based PDE programmes are also held annually in each school</w:t>
      </w:r>
      <w:r w:rsidRPr="005A6AA0">
        <w:t xml:space="preserve"> to build on their character development and life-skills</w:t>
      </w:r>
      <w:r>
        <w:t>.</w:t>
      </w:r>
    </w:p>
    <w:p w14:paraId="68541842" w14:textId="77777777" w:rsidR="007E625C" w:rsidRPr="0002569E" w:rsidRDefault="007E625C" w:rsidP="007E625C">
      <w:pPr>
        <w:jc w:val="both"/>
      </w:pPr>
      <w:r>
        <w:t>Recognising</w:t>
      </w:r>
      <w:r w:rsidRPr="00AA2902">
        <w:t xml:space="preserve"> that youths today are highly exposed to global influences through online activities</w:t>
      </w:r>
      <w:r>
        <w:t xml:space="preserve">, </w:t>
      </w:r>
      <w:r w:rsidRPr="00AA2902">
        <w:t>CNB’s engagement strategy ha</w:t>
      </w:r>
      <w:r>
        <w:t>s</w:t>
      </w:r>
      <w:r w:rsidRPr="00AA2902">
        <w:t xml:space="preserve"> evolved beyond traditional media and physical outreach activities to include digital touch points, such as Instagram and Tik Tok. Our social media efforts are focused on creating youth-centric contents which imbue PDE messages in a subtle manner – to </w:t>
      </w:r>
      <w:r>
        <w:t>provide</w:t>
      </w:r>
      <w:r w:rsidRPr="00AA2902">
        <w:t xml:space="preserve"> a compelling </w:t>
      </w:r>
      <w:r>
        <w:t xml:space="preserve">and evidence-based </w:t>
      </w:r>
      <w:r w:rsidRPr="00AA2902">
        <w:t xml:space="preserve">narrative of building a drug-free Singapore. The goal is to engage followers to </w:t>
      </w:r>
      <w:r>
        <w:t>amplify</w:t>
      </w:r>
      <w:r w:rsidRPr="00AA2902">
        <w:t xml:space="preserve"> CNB’s PDE messages online, by sharing the contents with friends.</w:t>
      </w:r>
    </w:p>
    <w:p w14:paraId="7D33870C" w14:textId="0BCAC86F" w:rsidR="007E625C" w:rsidRDefault="007E625C" w:rsidP="007E625C">
      <w:pPr>
        <w:jc w:val="both"/>
      </w:pPr>
      <w:r w:rsidRPr="135AB8DF">
        <w:t xml:space="preserve">In Aug 2023, a new Inter-Ministry Committee (IMC) on Drug Prevention for Youths, comprising political office holders from various ministries, was formed in response to the drug problem among youths, with a focus on drug prevention. </w:t>
      </w:r>
      <w:r>
        <w:t xml:space="preserve">As part of the IMC initiative, </w:t>
      </w:r>
      <w:proofErr w:type="spellStart"/>
      <w:r>
        <w:t>DrugFreeSG</w:t>
      </w:r>
      <w:proofErr w:type="spellEnd"/>
      <w:r>
        <w:t xml:space="preserve"> Champions, comprising teachers, counsellors, youth leaders and social workers, are appointed to amplify anti-drug messages through various means and better engage with the youth population to help them resist the temptation of drugs. </w:t>
      </w:r>
      <w:r w:rsidRPr="135AB8DF">
        <w:t xml:space="preserve">Another key initiative of the IMC is to designate every third Friday of May, starting from 2024, as “Drug </w:t>
      </w:r>
      <w:r w:rsidRPr="135AB8DF">
        <w:lastRenderedPageBreak/>
        <w:t xml:space="preserve">Victims Remembrance Day”, to remember the victims of drug abuse by creating awareness of how family and society, apart from drug abusers, are harmed by drugs.  </w:t>
      </w:r>
    </w:p>
    <w:p w14:paraId="1136F413" w14:textId="7F227536" w:rsidR="00523187" w:rsidRDefault="00523187" w:rsidP="00523187">
      <w:pPr>
        <w:jc w:val="both"/>
      </w:pPr>
      <w:r>
        <w:t>C</w:t>
      </w:r>
      <w:r w:rsidRPr="00AA2902">
        <w:t xml:space="preserve">ommunity-driven advocacy </w:t>
      </w:r>
      <w:r>
        <w:t>is the</w:t>
      </w:r>
      <w:r w:rsidRPr="00AA2902">
        <w:t xml:space="preserve"> cornerstone of </w:t>
      </w:r>
      <w:r>
        <w:t>CNB’s</w:t>
      </w:r>
      <w:r w:rsidRPr="00AA2902">
        <w:t xml:space="preserve"> engagement strategy, to generate a multiplier effect that galvanises our community to support the drug-free cause. CNB actively works with various community groups to boost awareness of the harmful effects of drugs.</w:t>
      </w:r>
    </w:p>
    <w:p w14:paraId="043E297D" w14:textId="77777777" w:rsidR="00523187" w:rsidRPr="005A6AA0" w:rsidRDefault="00523187" w:rsidP="00523187">
      <w:pPr>
        <w:jc w:val="both"/>
      </w:pPr>
      <w:r>
        <w:t>CNB partners t</w:t>
      </w:r>
      <w:r w:rsidRPr="005A6AA0">
        <w:t>he community-led National Council Against Drug Abuse (NCADA), to educate youths, parents and educators on the harms and consequences of drug abuse and grow the anti-drug advocacy movement within the community.</w:t>
      </w:r>
    </w:p>
    <w:p w14:paraId="5FCA56CE" w14:textId="6915F961" w:rsidR="00523187" w:rsidRDefault="00523187" w:rsidP="00523187">
      <w:pPr>
        <w:jc w:val="both"/>
      </w:pPr>
      <w:r w:rsidRPr="00AA2902">
        <w:t xml:space="preserve">CNB </w:t>
      </w:r>
      <w:r>
        <w:t xml:space="preserve">also </w:t>
      </w:r>
      <w:r w:rsidRPr="00AA2902">
        <w:t>works closely with the community</w:t>
      </w:r>
      <w:r>
        <w:t xml:space="preserve"> through</w:t>
      </w:r>
      <w:r w:rsidRPr="00AA2902">
        <w:t xml:space="preserve"> culturally nuanced anti-drug awareness effort </w:t>
      </w:r>
      <w:r>
        <w:t xml:space="preserve">such as </w:t>
      </w:r>
      <w:r w:rsidRPr="00AA2902">
        <w:t xml:space="preserve">the </w:t>
      </w:r>
      <w:proofErr w:type="spellStart"/>
      <w:r w:rsidRPr="00AA2902">
        <w:t>Dadah</w:t>
      </w:r>
      <w:proofErr w:type="spellEnd"/>
      <w:r w:rsidRPr="00AA2902">
        <w:t xml:space="preserve"> </w:t>
      </w:r>
      <w:proofErr w:type="spellStart"/>
      <w:r w:rsidRPr="00AA2902">
        <w:t>Itu</w:t>
      </w:r>
      <w:proofErr w:type="spellEnd"/>
      <w:r w:rsidRPr="00AA2902">
        <w:t xml:space="preserve"> Haram (DIH)</w:t>
      </w:r>
      <w:r>
        <w:rPr>
          <w:rStyle w:val="FootnoteReference"/>
        </w:rPr>
        <w:footnoteReference w:id="20"/>
      </w:r>
      <w:r w:rsidRPr="00AA2902">
        <w:t xml:space="preserve"> campaign</w:t>
      </w:r>
      <w:r>
        <w:t xml:space="preserve"> and the BEN</w:t>
      </w:r>
      <w:r>
        <w:rPr>
          <w:rStyle w:val="FootnoteReference"/>
        </w:rPr>
        <w:footnoteReference w:id="21"/>
      </w:r>
      <w:r>
        <w:t xml:space="preserve"> campaign for the Malay/Muslim community and the Tamil speaking community, respectively</w:t>
      </w:r>
      <w:r w:rsidRPr="00AA2902">
        <w:t xml:space="preserve">. CNB also rallies organisations and individuals to advocate for Singapore’s anti-drug approach, where </w:t>
      </w:r>
      <w:r>
        <w:t>they</w:t>
      </w:r>
      <w:r w:rsidRPr="00AA2902">
        <w:t xml:space="preserve"> would be encouraged to play a part in achieving Singapore’s drug-free vision through active citizenry. </w:t>
      </w:r>
    </w:p>
    <w:p w14:paraId="0846750C" w14:textId="1E6B72D4" w:rsidR="00B50BEE" w:rsidRPr="00EE2021" w:rsidRDefault="00BE4B15" w:rsidP="005B2D1F">
      <w:pPr>
        <w:jc w:val="both"/>
      </w:pPr>
      <w:r w:rsidRPr="00535970">
        <w:rPr>
          <w:rStyle w:val="cf01"/>
          <w:rFonts w:asciiTheme="minorHAnsi" w:hAnsiTheme="minorHAnsi" w:cstheme="minorHAnsi"/>
          <w:sz w:val="22"/>
          <w:szCs w:val="22"/>
        </w:rPr>
        <w:t xml:space="preserve">CNB also conducts training sessions for its volunteers. The sessions cover topics on Singapore’s approach to drug control, including sharing sessions by ex-abusers to provide volunteers with a better understanding of the drug situation in Singapore and the harms of drug abuse. In addition, CNB works with regional and international PDE counterparts to build advocacy beyond Singapore. For e.g., CNB nominates its youth advocates as </w:t>
      </w:r>
      <w:r w:rsidRPr="00535970">
        <w:rPr>
          <w:rStyle w:val="cf11"/>
          <w:rFonts w:asciiTheme="minorHAnsi" w:hAnsiTheme="minorHAnsi" w:cstheme="minorHAnsi"/>
          <w:sz w:val="22"/>
          <w:szCs w:val="22"/>
        </w:rPr>
        <w:t>Singapore’s representative at the annual UNODC Youth Forum, to share our drug control policies and develop joint youth statements at the CND</w:t>
      </w:r>
      <w:r>
        <w:rPr>
          <w:rStyle w:val="cf11"/>
        </w:rPr>
        <w:t>.</w:t>
      </w:r>
    </w:p>
    <w:p w14:paraId="6AEA4D6E" w14:textId="7774BAF1" w:rsidR="00C17762" w:rsidRDefault="0002569E" w:rsidP="0045392A">
      <w:pPr>
        <w:pStyle w:val="ListParagraph"/>
        <w:numPr>
          <w:ilvl w:val="0"/>
          <w:numId w:val="31"/>
        </w:numPr>
        <w:rPr>
          <w:i/>
          <w:iCs/>
        </w:rPr>
      </w:pPr>
      <w:r w:rsidRPr="00485D04">
        <w:rPr>
          <w:i/>
          <w:iCs/>
        </w:rPr>
        <w:t>Firm Laws and Rigorous Enforcement </w:t>
      </w:r>
    </w:p>
    <w:p w14:paraId="21CF4014" w14:textId="77777777" w:rsidR="006C55B9" w:rsidRPr="00485D04" w:rsidRDefault="006C55B9" w:rsidP="006C55B9">
      <w:pPr>
        <w:pStyle w:val="ListParagraph"/>
        <w:ind w:left="360"/>
        <w:rPr>
          <w:i/>
          <w:iCs/>
        </w:rPr>
      </w:pPr>
    </w:p>
    <w:p w14:paraId="3A734330" w14:textId="13F4247F" w:rsidR="0070723A" w:rsidRDefault="00C17762" w:rsidP="00AF5C52">
      <w:pPr>
        <w:pStyle w:val="ListParagraph"/>
        <w:ind w:left="0"/>
        <w:jc w:val="both"/>
        <w:rPr>
          <w:rFonts w:cstheme="minorHAnsi"/>
          <w:color w:val="212529"/>
        </w:rPr>
      </w:pPr>
      <w:r w:rsidRPr="00963AE9">
        <w:rPr>
          <w:rFonts w:cstheme="minorHAnsi"/>
          <w:color w:val="212529"/>
        </w:rPr>
        <w:t>The Misuse of Drugs Act</w:t>
      </w:r>
      <w:r>
        <w:rPr>
          <w:rFonts w:cstheme="minorHAnsi"/>
          <w:color w:val="212529"/>
        </w:rPr>
        <w:t xml:space="preserve"> </w:t>
      </w:r>
      <w:r w:rsidR="00BE4B15">
        <w:rPr>
          <w:rFonts w:cstheme="minorHAnsi"/>
          <w:color w:val="212529"/>
        </w:rPr>
        <w:t>(MDA)</w:t>
      </w:r>
      <w:r w:rsidRPr="00963AE9">
        <w:rPr>
          <w:rFonts w:cstheme="minorHAnsi"/>
          <w:color w:val="212529"/>
        </w:rPr>
        <w:t xml:space="preserve"> is the main legislation for drug offences</w:t>
      </w:r>
      <w:r w:rsidR="00BE4B15">
        <w:rPr>
          <w:rFonts w:cstheme="minorHAnsi"/>
          <w:color w:val="212529"/>
        </w:rPr>
        <w:t xml:space="preserve"> in Singapore</w:t>
      </w:r>
      <w:r w:rsidRPr="00963AE9">
        <w:rPr>
          <w:rFonts w:cstheme="minorHAnsi"/>
          <w:color w:val="212529"/>
        </w:rPr>
        <w:t>. It provides for the enforcement powers of CNB and the penalties for various drug offences, including trafficking, manufacturing, importation or exportation, possession and consumption of controlled drugs</w:t>
      </w:r>
      <w:r w:rsidR="00256BFE" w:rsidRPr="00823332">
        <w:rPr>
          <w:rFonts w:cstheme="minorHAnsi"/>
          <w:color w:val="212529"/>
        </w:rPr>
        <w:t>.</w:t>
      </w:r>
      <w:r w:rsidR="00256BFE">
        <w:rPr>
          <w:rFonts w:cstheme="minorHAnsi"/>
          <w:color w:val="212529"/>
        </w:rPr>
        <w:t xml:space="preserve"> Since 2012, the MDA has been amended to deter adults from targeting children for drug activities or engaging in contaminative activities.</w:t>
      </w:r>
      <w:r w:rsidR="00256BFE" w:rsidRPr="00823332">
        <w:rPr>
          <w:rFonts w:cstheme="minorHAnsi"/>
          <w:color w:val="212529"/>
        </w:rPr>
        <w:t xml:space="preserve"> </w:t>
      </w:r>
      <w:r w:rsidR="00256BFE">
        <w:rPr>
          <w:rFonts w:cstheme="minorHAnsi"/>
          <w:color w:val="212529"/>
        </w:rPr>
        <w:t xml:space="preserve">In 2012, amendments were introduced to enhance punishments against those who recruit young persons (defined as </w:t>
      </w:r>
      <w:r w:rsidR="00256BFE" w:rsidRPr="00997B0F">
        <w:rPr>
          <w:rFonts w:cstheme="minorHAnsi"/>
          <w:color w:val="212529"/>
        </w:rPr>
        <w:t>any person who is below 21 years of age</w:t>
      </w:r>
      <w:r w:rsidR="00256BFE">
        <w:rPr>
          <w:rFonts w:cstheme="minorHAnsi"/>
          <w:color w:val="212529"/>
        </w:rPr>
        <w:t xml:space="preserve">) for drug activities or supply them with drugs. In 2019, further amendments were made </w:t>
      </w:r>
      <w:r w:rsidR="00256BFE" w:rsidRPr="00823332">
        <w:rPr>
          <w:rFonts w:cstheme="minorHAnsi"/>
          <w:color w:val="212529"/>
        </w:rPr>
        <w:t xml:space="preserve">to </w:t>
      </w:r>
      <w:r w:rsidR="00256BFE">
        <w:rPr>
          <w:rFonts w:cstheme="minorHAnsi"/>
          <w:color w:val="212529"/>
        </w:rPr>
        <w:t xml:space="preserve">better protect children and young persons from the harms of drugs by making it an offence for an adult who possesses illicit drugs, knowing that a child (below 16 years of age) is likely to be present in a place, to knowingly or recklessly leave drugs or drug utensils within easy access of the child. It is also an offence for an adult to permit or not take reasonable steps to prevent a young person from consuming illicit drugs in the adult’s possession. In addition, the laws were amended to allow the Director of the Central Narcotics Bureau to require parents or guardians to attend counselling with the youth drug abuser (under 21 years of age) placed in the Youth Enhanced Supervision scheme. </w:t>
      </w:r>
      <w:r w:rsidR="00256BFE" w:rsidRPr="00823332">
        <w:rPr>
          <w:rFonts w:cstheme="minorHAnsi"/>
          <w:color w:val="212529"/>
        </w:rPr>
        <w:t xml:space="preserve"> </w:t>
      </w:r>
    </w:p>
    <w:p w14:paraId="72E55071" w14:textId="77777777" w:rsidR="0070723A" w:rsidRDefault="0070723A" w:rsidP="00AF5C52">
      <w:pPr>
        <w:pStyle w:val="ListParagraph"/>
        <w:ind w:left="0"/>
        <w:jc w:val="both"/>
        <w:rPr>
          <w:rFonts w:cstheme="minorHAnsi"/>
          <w:color w:val="212529"/>
        </w:rPr>
      </w:pPr>
    </w:p>
    <w:p w14:paraId="624BEE3E" w14:textId="77777777" w:rsidR="0070723A" w:rsidRDefault="0070723A" w:rsidP="00AF5C52">
      <w:pPr>
        <w:pStyle w:val="ListParagraph"/>
        <w:ind w:left="0"/>
        <w:jc w:val="both"/>
        <w:rPr>
          <w:rFonts w:cstheme="minorHAnsi"/>
          <w:color w:val="212529"/>
        </w:rPr>
      </w:pPr>
      <w:r w:rsidRPr="00823332">
        <w:rPr>
          <w:rFonts w:cstheme="minorHAnsi"/>
          <w:color w:val="212529"/>
        </w:rPr>
        <w:t xml:space="preserve">In March 2023, </w:t>
      </w:r>
      <w:r>
        <w:rPr>
          <w:rFonts w:cstheme="minorHAnsi"/>
          <w:color w:val="212529"/>
        </w:rPr>
        <w:t xml:space="preserve">a series of new MDA amendments were tabled in the Singapore Parliament to address challenges CNB has observed. Two of the amendments were (1) </w:t>
      </w:r>
      <w:r w:rsidRPr="00C47993">
        <w:rPr>
          <w:rFonts w:cstheme="minorHAnsi"/>
          <w:color w:val="212529"/>
        </w:rPr>
        <w:t xml:space="preserve">more stringent penalties, including </w:t>
      </w:r>
      <w:r w:rsidRPr="00C47993">
        <w:rPr>
          <w:rFonts w:cstheme="minorHAnsi"/>
          <w:color w:val="212529"/>
        </w:rPr>
        <w:lastRenderedPageBreak/>
        <w:t>caning, for the possession of certain drugs</w:t>
      </w:r>
      <w:r>
        <w:rPr>
          <w:rStyle w:val="FootnoteReference"/>
        </w:rPr>
        <w:footnoteReference w:id="22"/>
      </w:r>
      <w:r w:rsidRPr="00C47993">
        <w:rPr>
          <w:rFonts w:cstheme="minorHAnsi"/>
          <w:color w:val="212529"/>
        </w:rPr>
        <w:t xml:space="preserve"> i</w:t>
      </w:r>
      <w:r>
        <w:rPr>
          <w:rFonts w:cstheme="minorHAnsi"/>
          <w:color w:val="212529"/>
        </w:rPr>
        <w:t>f the</w:t>
      </w:r>
      <w:r w:rsidRPr="00C47993">
        <w:rPr>
          <w:rFonts w:cstheme="minorHAnsi"/>
          <w:color w:val="212529"/>
        </w:rPr>
        <w:t xml:space="preserve"> quantities </w:t>
      </w:r>
      <w:r>
        <w:rPr>
          <w:rFonts w:cstheme="minorHAnsi"/>
          <w:color w:val="212529"/>
        </w:rPr>
        <w:t xml:space="preserve">are </w:t>
      </w:r>
      <w:r w:rsidRPr="00C47993">
        <w:rPr>
          <w:rFonts w:cstheme="minorHAnsi"/>
          <w:color w:val="212529"/>
        </w:rPr>
        <w:t>above defined weight thresholds</w:t>
      </w:r>
      <w:r>
        <w:rPr>
          <w:rFonts w:cstheme="minorHAnsi"/>
          <w:color w:val="212529"/>
        </w:rPr>
        <w:t>, and (2) a new framework to deal with psychoactive substances that were not yet listed as controlled drugs in the MDA</w:t>
      </w:r>
      <w:r w:rsidRPr="00C47993">
        <w:rPr>
          <w:rFonts w:cstheme="minorHAnsi"/>
          <w:color w:val="212529"/>
        </w:rPr>
        <w:t>.</w:t>
      </w:r>
      <w:r>
        <w:rPr>
          <w:rFonts w:cstheme="minorHAnsi"/>
          <w:color w:val="212529"/>
        </w:rPr>
        <w:t xml:space="preserve"> The former sought to more accurately address the harms posed by those who demand large quantities of drugs as such actions invariably </w:t>
      </w:r>
      <w:r w:rsidRPr="00E82FA6">
        <w:rPr>
          <w:rFonts w:cstheme="minorHAnsi"/>
          <w:color w:val="212529"/>
        </w:rPr>
        <w:t>drive-up</w:t>
      </w:r>
      <w:r>
        <w:rPr>
          <w:rFonts w:cstheme="minorHAnsi"/>
          <w:color w:val="212529"/>
        </w:rPr>
        <w:t xml:space="preserve"> </w:t>
      </w:r>
      <w:r w:rsidRPr="00E82FA6">
        <w:rPr>
          <w:rFonts w:cstheme="minorHAnsi"/>
          <w:color w:val="212529"/>
        </w:rPr>
        <w:t>demand locally and may cause downstream law and order issues</w:t>
      </w:r>
      <w:r>
        <w:rPr>
          <w:rFonts w:cstheme="minorHAnsi"/>
          <w:color w:val="212529"/>
        </w:rPr>
        <w:t>. The new framework aimed to allow authorities to better address the threat from new psychoactive substances (NPS). This is a</w:t>
      </w:r>
      <w:r w:rsidRPr="001E77B7">
        <w:rPr>
          <w:rFonts w:cstheme="minorHAnsi"/>
          <w:color w:val="212529"/>
        </w:rPr>
        <w:t xml:space="preserve"> proactive approach</w:t>
      </w:r>
      <w:r>
        <w:rPr>
          <w:rFonts w:cstheme="minorHAnsi"/>
          <w:color w:val="212529"/>
        </w:rPr>
        <w:t xml:space="preserve"> targeted at dealing with NPS that are not yet listed as controlled drugs in the MDA but are already in circulation in the recreational drug scene</w:t>
      </w:r>
      <w:r w:rsidRPr="001E77B7">
        <w:rPr>
          <w:rFonts w:cstheme="minorHAnsi"/>
          <w:color w:val="212529"/>
        </w:rPr>
        <w:t>.</w:t>
      </w:r>
    </w:p>
    <w:p w14:paraId="16CED12E" w14:textId="2148636C" w:rsidR="00C17762" w:rsidRPr="00600A05" w:rsidRDefault="00C17762" w:rsidP="005B2D1F">
      <w:pPr>
        <w:jc w:val="both"/>
      </w:pPr>
      <w:r w:rsidRPr="00600A05">
        <w:t>The Intoxicating Substances Act (INSA) provides the legal framework for inhalant offences, such as inhaling or using, supplying or offering to supply intoxicating substances. It also provides for the enforcement powers of CNB and the power to commit an inhalant abuser for treatment and rehabilitation.</w:t>
      </w:r>
    </w:p>
    <w:p w14:paraId="0324FE10" w14:textId="5DBE222B" w:rsidR="00AF5C52" w:rsidRPr="00B50BEE" w:rsidRDefault="0002569E" w:rsidP="005B2D1F">
      <w:pPr>
        <w:jc w:val="both"/>
      </w:pPr>
      <w:r w:rsidRPr="0002569E">
        <w:t xml:space="preserve">CNB </w:t>
      </w:r>
      <w:r w:rsidR="00C17762">
        <w:t xml:space="preserve">also </w:t>
      </w:r>
      <w:r w:rsidRPr="0002569E">
        <w:t>prevents the proliferation of drugs through intelligence, operations and investigations, guided by robust laws and policies. CNB collaborates with Home Team, local and international partners to stem the flow of drugs into and within Singapore.</w:t>
      </w:r>
    </w:p>
    <w:p w14:paraId="09601AE6" w14:textId="0FBC3441" w:rsidR="00C17762" w:rsidRPr="00485D04" w:rsidRDefault="0002569E" w:rsidP="0045392A">
      <w:pPr>
        <w:pStyle w:val="ListParagraph"/>
        <w:numPr>
          <w:ilvl w:val="0"/>
          <w:numId w:val="31"/>
        </w:numPr>
        <w:rPr>
          <w:i/>
          <w:iCs/>
        </w:rPr>
      </w:pPr>
      <w:r w:rsidRPr="00485D04">
        <w:rPr>
          <w:i/>
          <w:iCs/>
        </w:rPr>
        <w:t>Structured Rehabilitation and Aftercare Programmes </w:t>
      </w:r>
    </w:p>
    <w:p w14:paraId="5A0317B9" w14:textId="19E1E021" w:rsidR="0002569E" w:rsidRPr="0002569E" w:rsidRDefault="0002569E" w:rsidP="005B2D1F">
      <w:pPr>
        <w:jc w:val="both"/>
      </w:pPr>
      <w:r w:rsidRPr="0002569E">
        <w:t>Singapore’s regime weans drug abusers off addiction and prepares them for life outside the Drug Rehabilitation Centres (DRCs) and prisons. Ex-abusers who are released are supervised by CNB to facilitate their re-integration into society through a coordinated aftercare network.</w:t>
      </w:r>
    </w:p>
    <w:p w14:paraId="1EA0847A" w14:textId="4A82AEF0" w:rsidR="0002569E" w:rsidRPr="00E75C3E" w:rsidRDefault="00B36486" w:rsidP="005B2D1F">
      <w:pPr>
        <w:jc w:val="both"/>
      </w:pPr>
      <w:r w:rsidRPr="00E75C3E">
        <w:t>The </w:t>
      </w:r>
      <w:r w:rsidRPr="002400EC">
        <w:t>Singapore Prison Service</w:t>
      </w:r>
      <w:r w:rsidRPr="00E75C3E">
        <w:t> (SPS) and </w:t>
      </w:r>
      <w:r w:rsidRPr="002400EC">
        <w:t>Yellow Ribbon Singapore</w:t>
      </w:r>
      <w:r w:rsidRPr="00E75C3E">
        <w:t xml:space="preserve"> (YRSG) have been driving efforts to </w:t>
      </w:r>
      <w:r w:rsidR="00E75C3E" w:rsidRPr="00E75C3E">
        <w:t>minimi</w:t>
      </w:r>
      <w:r w:rsidR="006A2687">
        <w:t>s</w:t>
      </w:r>
      <w:r w:rsidR="00E75C3E" w:rsidRPr="00E75C3E">
        <w:t>e re-offending</w:t>
      </w:r>
      <w:r w:rsidRPr="00E75C3E">
        <w:t>.</w:t>
      </w:r>
      <w:r w:rsidR="00C56D0D">
        <w:t xml:space="preserve"> </w:t>
      </w:r>
    </w:p>
    <w:p w14:paraId="23E92AF6" w14:textId="1B78EEA2" w:rsidR="00EF7ACA" w:rsidRDefault="002400EC" w:rsidP="005B2D1F">
      <w:pPr>
        <w:jc w:val="both"/>
      </w:pPr>
      <w:r w:rsidRPr="002400EC">
        <w:t>Building on existing efforts, SPS will embark on another major transformation initiative this year – Corrections 2030.</w:t>
      </w:r>
      <w:r w:rsidR="00C56D0D">
        <w:t xml:space="preserve"> </w:t>
      </w:r>
      <w:r w:rsidRPr="002400EC">
        <w:t>It is anchored on three key strategies.</w:t>
      </w:r>
      <w:r w:rsidR="004817B3">
        <w:tab/>
      </w:r>
    </w:p>
    <w:p w14:paraId="21B288BE" w14:textId="2CAFABD1" w:rsidR="00DA310F" w:rsidRPr="003242C5" w:rsidRDefault="002400EC" w:rsidP="003242C5">
      <w:pPr>
        <w:pStyle w:val="ListParagraph"/>
        <w:numPr>
          <w:ilvl w:val="0"/>
          <w:numId w:val="84"/>
        </w:numPr>
        <w:jc w:val="both"/>
      </w:pPr>
      <w:r w:rsidRPr="003242C5">
        <w:t>Strengthening Families of Inmates to Reduce Inter-Generational Offending</w:t>
      </w:r>
      <w:r w:rsidR="00AF5C52" w:rsidRPr="003242C5">
        <w:tab/>
      </w:r>
      <w:r w:rsidRPr="002400EC">
        <w:br/>
      </w:r>
    </w:p>
    <w:p w14:paraId="7F2B4871" w14:textId="77777777" w:rsidR="00AF5C52" w:rsidRDefault="00DA310F" w:rsidP="005B2D1F">
      <w:pPr>
        <w:pStyle w:val="ListParagraph"/>
        <w:ind w:left="0"/>
        <w:jc w:val="both"/>
      </w:pPr>
      <w:r w:rsidRPr="00AF5C52">
        <w:t xml:space="preserve">By increasing the social and community capital of inmates, SPS will start a positive ripple effect to uplift and strengthen their families for better social mobility outcomes. This will help inmates and their families to break the intergenerational cycle of offending and re-offending. </w:t>
      </w:r>
    </w:p>
    <w:p w14:paraId="49D0C53B" w14:textId="0C0570FB" w:rsidR="00EF7ACA" w:rsidRPr="00AF5C52" w:rsidRDefault="002400EC" w:rsidP="005B2D1F">
      <w:pPr>
        <w:pStyle w:val="ListParagraph"/>
        <w:ind w:left="0"/>
        <w:jc w:val="both"/>
      </w:pPr>
      <w:r w:rsidRPr="00AF5C52">
        <w:br/>
      </w:r>
      <w:r w:rsidR="00244B8E" w:rsidRPr="00AF5C52">
        <w:t xml:space="preserve">SPS works closely with </w:t>
      </w:r>
      <w:r w:rsidR="00057D3A">
        <w:t>MSF</w:t>
      </w:r>
      <w:r w:rsidR="00244B8E" w:rsidRPr="00AF5C52">
        <w:t xml:space="preserve"> and Family Service Centres (FSCs) to support inmates and their family. Since </w:t>
      </w:r>
      <w:r w:rsidRPr="00AF5C52">
        <w:t>April 2024, inmates and their famil</w:t>
      </w:r>
      <w:r w:rsidR="00244B8E" w:rsidRPr="00AF5C52">
        <w:t>y with challenges in their marriages are</w:t>
      </w:r>
      <w:r w:rsidRPr="00AF5C52">
        <w:t xml:space="preserve"> referred to Strengthening Families </w:t>
      </w:r>
      <w:proofErr w:type="spellStart"/>
      <w:r w:rsidRPr="00AF5C52">
        <w:t>Programme@Family</w:t>
      </w:r>
      <w:proofErr w:type="spellEnd"/>
      <w:r w:rsidRPr="00AF5C52">
        <w:t xml:space="preserve"> Service Centre (</w:t>
      </w:r>
      <w:proofErr w:type="spellStart"/>
      <w:r w:rsidRPr="00AF5C52">
        <w:t>Fam@FSC</w:t>
      </w:r>
      <w:proofErr w:type="spellEnd"/>
      <w:r w:rsidRPr="00AF5C52">
        <w:t xml:space="preserve">) for </w:t>
      </w:r>
      <w:r w:rsidR="00244B8E" w:rsidRPr="00AF5C52">
        <w:t xml:space="preserve">marriage support and </w:t>
      </w:r>
      <w:r w:rsidRPr="00AF5C52">
        <w:t xml:space="preserve">counselling. </w:t>
      </w:r>
    </w:p>
    <w:p w14:paraId="3CCDDB44" w14:textId="77777777" w:rsidR="00EF7ACA" w:rsidRDefault="00EF7ACA" w:rsidP="00EF7ACA">
      <w:pPr>
        <w:pStyle w:val="ListParagraph"/>
        <w:ind w:left="0"/>
      </w:pPr>
    </w:p>
    <w:p w14:paraId="662A229D" w14:textId="6282AD9E" w:rsidR="00EF7ACA" w:rsidRPr="003242C5" w:rsidRDefault="002400EC" w:rsidP="003242C5">
      <w:pPr>
        <w:pStyle w:val="ListParagraph"/>
        <w:numPr>
          <w:ilvl w:val="0"/>
          <w:numId w:val="84"/>
        </w:numPr>
      </w:pPr>
      <w:r w:rsidRPr="003242C5">
        <w:t>Maximising Employability and Career Opportunities of Ex-Offenders</w:t>
      </w:r>
    </w:p>
    <w:p w14:paraId="50F12B26" w14:textId="5450B167" w:rsidR="00AF5C52" w:rsidRDefault="002400EC" w:rsidP="005B2D1F">
      <w:pPr>
        <w:jc w:val="both"/>
      </w:pPr>
      <w:r w:rsidRPr="00AF5C52">
        <w:t>Gainful employment raises self-esteem and provides financial stability, thus reducing re-offending risks. </w:t>
      </w:r>
      <w:r w:rsidR="00C03514" w:rsidRPr="00AF5C52">
        <w:t xml:space="preserve">SPS and YRSG will continue to build economic capital by upskilling and deepening the skills of inmates and </w:t>
      </w:r>
      <w:proofErr w:type="spellStart"/>
      <w:r w:rsidR="00C03514" w:rsidRPr="00AF5C52">
        <w:t>desistors</w:t>
      </w:r>
      <w:proofErr w:type="spellEnd"/>
      <w:r w:rsidR="00C03514" w:rsidRPr="00AF5C52">
        <w:t xml:space="preserve"> for more resilient career pathways, as well as by building a strong coalition of partners and employers to promote inclusive hiring of ex-offenders and reduce stigmatisation in society</w:t>
      </w:r>
      <w:r w:rsidRPr="00AF5C52">
        <w:br/>
      </w:r>
      <w:r w:rsidRPr="00AF5C52">
        <w:br/>
      </w:r>
      <w:r w:rsidR="00134716" w:rsidRPr="00AF5C52">
        <w:t xml:space="preserve">The YR Sandbox allows ex-offenders to explore job opportunities in emerging and fast-growing sectors; </w:t>
      </w:r>
      <w:r w:rsidR="00134716" w:rsidRPr="00AF5C52">
        <w:lastRenderedPageBreak/>
        <w:t xml:space="preserve">this will be expanded to include the hospitality and tourism sectors in 2024. </w:t>
      </w:r>
      <w:r w:rsidRPr="00AF5C52">
        <w:br/>
      </w:r>
      <w:r w:rsidRPr="00AF5C52">
        <w:br/>
      </w:r>
      <w:r w:rsidRPr="002400EC">
        <w:t>Under ‘Project Beyond Hiring’, YRSG equips workplace supervisors with skills to support and empower ex-offenders under their employment.</w:t>
      </w:r>
      <w:r w:rsidR="00AD4C70">
        <w:t xml:space="preserve"> </w:t>
      </w:r>
      <w:r w:rsidR="00134716">
        <w:t>In 2024</w:t>
      </w:r>
      <w:r w:rsidRPr="002400EC">
        <w:t xml:space="preserve">, YRSG will expand </w:t>
      </w:r>
      <w:r w:rsidR="00134716">
        <w:t>the project</w:t>
      </w:r>
      <w:r w:rsidR="00134716" w:rsidRPr="002400EC">
        <w:t xml:space="preserve"> </w:t>
      </w:r>
      <w:r w:rsidRPr="002400EC">
        <w:t>to more employers across industries such as logistics and hospitality.</w:t>
      </w:r>
    </w:p>
    <w:p w14:paraId="4647837A" w14:textId="3F76B316" w:rsidR="00246CDF" w:rsidRDefault="002400EC" w:rsidP="003242C5">
      <w:pPr>
        <w:pStyle w:val="ListParagraph"/>
        <w:numPr>
          <w:ilvl w:val="0"/>
          <w:numId w:val="84"/>
        </w:numPr>
        <w:jc w:val="both"/>
      </w:pPr>
      <w:r w:rsidRPr="003242C5">
        <w:t>Mobilising Community Partners to Better Support Rehabilitation </w:t>
      </w:r>
    </w:p>
    <w:p w14:paraId="0191B563" w14:textId="0B3FD57C" w:rsidR="00246CDF" w:rsidRPr="00AF5C52" w:rsidRDefault="00246CDF" w:rsidP="005B2D1F">
      <w:pPr>
        <w:jc w:val="both"/>
      </w:pPr>
      <w:r w:rsidRPr="00AF5C52">
        <w:t xml:space="preserve">SPS will engage the whole of society to strive for a safer, more inclusive and cohesive Singapore, through research and evidence-informed correctional practices. This includes cultivating a shared vision across people, private and public sector for community-driven efforts to support inmates and ex-offenders, as well as to empower </w:t>
      </w:r>
      <w:proofErr w:type="spellStart"/>
      <w:r w:rsidRPr="00AF5C52">
        <w:t>desistors</w:t>
      </w:r>
      <w:proofErr w:type="spellEnd"/>
      <w:r w:rsidRPr="00AF5C52">
        <w:t xml:space="preserve"> as community leaders. </w:t>
      </w:r>
    </w:p>
    <w:p w14:paraId="408F39AB" w14:textId="454BA1F9" w:rsidR="002400EC" w:rsidRPr="00707894" w:rsidRDefault="002400EC" w:rsidP="005B2D1F">
      <w:pPr>
        <w:jc w:val="both"/>
      </w:pPr>
      <w:r w:rsidRPr="002400EC">
        <w:t>Volunteers and community partners who work with inmates, ex-offenders and their families have been receiving basic corrections-related training from SPS. SPS will make such training more effective through a revised Development Framework for Offender Rehabilitation Personnel. Under this framework, SPS will equip volunteers with specific competencies needed for their work, such as grief and trauma management.</w:t>
      </w:r>
    </w:p>
    <w:p w14:paraId="71291C5E" w14:textId="063BE90D" w:rsidR="00764B1A" w:rsidRDefault="00764B1A" w:rsidP="003242C5">
      <w:pPr>
        <w:pStyle w:val="ListParagraph"/>
        <w:numPr>
          <w:ilvl w:val="0"/>
          <w:numId w:val="84"/>
        </w:numPr>
        <w:spacing w:line="259" w:lineRule="auto"/>
        <w:jc w:val="both"/>
      </w:pPr>
      <w:r w:rsidRPr="003242C5">
        <w:t>National Addictions Management Service (NAMS)</w:t>
      </w:r>
    </w:p>
    <w:p w14:paraId="1806B839" w14:textId="4EB6996A" w:rsidR="00EE2021" w:rsidRPr="00EE2021" w:rsidRDefault="00764B1A" w:rsidP="00EE2021">
      <w:pPr>
        <w:spacing w:line="259" w:lineRule="auto"/>
        <w:jc w:val="both"/>
      </w:pPr>
      <w:r>
        <w:t xml:space="preserve">The </w:t>
      </w:r>
      <w:r w:rsidRPr="00764B1A">
        <w:t>National Addictions Management Service (NAMS)</w:t>
      </w:r>
      <w:r w:rsidR="00246CDF">
        <w:t xml:space="preserve"> is </w:t>
      </w:r>
      <w:r w:rsidRPr="00D50223">
        <w:t xml:space="preserve">located within the Institute of Mental Health (IMH), provides treatment and support for patients with addictions. Such patients are managed holistically by a multidisciplinary team of </w:t>
      </w:r>
      <w:r>
        <w:t>healthcare</w:t>
      </w:r>
      <w:r w:rsidRPr="00D50223">
        <w:t xml:space="preserve"> professionals</w:t>
      </w:r>
      <w:r>
        <w:t xml:space="preserve"> using</w:t>
      </w:r>
      <w:r w:rsidRPr="00D50223">
        <w:t xml:space="preserve"> a combination of two approaches</w:t>
      </w:r>
      <w:r>
        <w:t>- Pharmacol</w:t>
      </w:r>
      <w:r w:rsidR="005D4ADB">
        <w:t>ogical and non-</w:t>
      </w:r>
      <w:proofErr w:type="spellStart"/>
      <w:r w:rsidR="005D4ADB">
        <w:t>pharmological</w:t>
      </w:r>
      <w:proofErr w:type="spellEnd"/>
      <w:r w:rsidR="005D4ADB">
        <w:t xml:space="preserve"> management. </w:t>
      </w:r>
      <w:r>
        <w:t xml:space="preserve">In addition to the above, </w:t>
      </w:r>
      <w:r w:rsidRPr="00D50223">
        <w:t>National Addictions Management Service</w:t>
      </w:r>
      <w:r w:rsidDel="00E26970">
        <w:t xml:space="preserve"> </w:t>
      </w:r>
      <w:r>
        <w:t>also assists patients to secure placements in community-based aftercare services, as well as apply for financial assistance schemes as required. In 202</w:t>
      </w:r>
      <w:r w:rsidR="009239E9">
        <w:t>3</w:t>
      </w:r>
      <w:r>
        <w:t xml:space="preserve">, a total of </w:t>
      </w:r>
      <w:r w:rsidR="00423FC6">
        <w:t>347</w:t>
      </w:r>
      <w:r>
        <w:t xml:space="preserve"> females and 1,</w:t>
      </w:r>
      <w:r w:rsidR="00423FC6">
        <w:t>857</w:t>
      </w:r>
      <w:r>
        <w:t xml:space="preserve"> males underwent treatment at NAMS for alcohol or drug addiction</w:t>
      </w:r>
      <w:r w:rsidRPr="4096F4B2">
        <w:rPr>
          <w:rStyle w:val="FootnoteReference"/>
          <w:rFonts w:cs="Arial"/>
          <w:i/>
          <w:iCs/>
          <w:color w:val="000000" w:themeColor="text1"/>
        </w:rPr>
        <w:footnoteReference w:id="23"/>
      </w:r>
      <w:r>
        <w:t xml:space="preserve">. </w:t>
      </w:r>
      <w:r w:rsidR="00EE2021">
        <w:t xml:space="preserve"> </w:t>
      </w:r>
    </w:p>
    <w:p w14:paraId="2B80502B" w14:textId="6064BCA6" w:rsidR="008E3F24" w:rsidRPr="00485D04" w:rsidRDefault="008E3F24" w:rsidP="0045392A">
      <w:pPr>
        <w:pStyle w:val="ListParagraph"/>
        <w:numPr>
          <w:ilvl w:val="0"/>
          <w:numId w:val="30"/>
        </w:numPr>
        <w:rPr>
          <w:b/>
          <w:bCs/>
        </w:rPr>
      </w:pPr>
      <w:r w:rsidRPr="00485D04">
        <w:rPr>
          <w:b/>
          <w:bCs/>
        </w:rPr>
        <w:t xml:space="preserve">Measures to combat trafficking </w:t>
      </w:r>
    </w:p>
    <w:p w14:paraId="2D0E2A73" w14:textId="0783438F" w:rsidR="0077162A" w:rsidRDefault="00E40037" w:rsidP="0077162A">
      <w:pPr>
        <w:jc w:val="both"/>
        <w:rPr>
          <w:rFonts w:cstheme="minorHAnsi"/>
        </w:rPr>
      </w:pPr>
      <w:r w:rsidRPr="00E40037">
        <w:t xml:space="preserve">Singapore takes a serious view of Trafficking in Persons </w:t>
      </w:r>
      <w:r w:rsidR="00EB02C4">
        <w:t xml:space="preserve">(TIP) </w:t>
      </w:r>
      <w:r w:rsidRPr="00E40037">
        <w:t xml:space="preserve">and remains committed to strengthening our efforts to eliminate it. </w:t>
      </w:r>
      <w:r w:rsidR="004D5A42" w:rsidRPr="004D5A42">
        <w:t>Every victim of abuse, including TIP victims, gets the help that he or she needs, and is treated with care and dignity by Singapore authorities.</w:t>
      </w:r>
      <w:r w:rsidR="00CC78ED">
        <w:t xml:space="preserve"> </w:t>
      </w:r>
      <w:r w:rsidR="00CC78ED" w:rsidRPr="00342686">
        <w:rPr>
          <w:rFonts w:cstheme="minorHAnsi"/>
        </w:rPr>
        <w:t>Our sustained efforts in combatting TIP have resulted in Singapore being ranked in Tier 1 in the United States’ annual TIP Report for four consecutive years since 2020.</w:t>
      </w:r>
    </w:p>
    <w:p w14:paraId="1934DA5C" w14:textId="51C36AA3" w:rsidR="00C74EF6" w:rsidRPr="00617822" w:rsidRDefault="00C74EF6" w:rsidP="00617822">
      <w:pPr>
        <w:jc w:val="both"/>
        <w:rPr>
          <w:rFonts w:cstheme="minorHAnsi"/>
        </w:rPr>
      </w:pPr>
      <w:r w:rsidRPr="00C74EF6">
        <w:rPr>
          <w:rFonts w:cstheme="minorHAnsi"/>
          <w:u w:val="single"/>
        </w:rPr>
        <w:t>National Approach Against TIP (2016 – 2026)</w:t>
      </w:r>
    </w:p>
    <w:p w14:paraId="6745127C" w14:textId="48F43D34" w:rsidR="00C74EF6" w:rsidRPr="00C74EF6" w:rsidRDefault="00C74EF6" w:rsidP="005B2D1F">
      <w:pPr>
        <w:jc w:val="both"/>
        <w:rPr>
          <w:rFonts w:cstheme="minorHAnsi"/>
        </w:rPr>
      </w:pPr>
      <w:r w:rsidRPr="00EB5A12">
        <w:rPr>
          <w:rFonts w:cstheme="minorHAnsi"/>
        </w:rPr>
        <w:t>Singapore takes a Whole-of-Government approach to combat TIP, consisting upstream prevention measures, a strong legal framework, adequate victim support measures, and partnership with local and international stakeholders. Our comprehensive approach is laid out within the National Approach against Trafficking in Persons, 2016-2026, and is designed to protect all vulnerable segments of society from such harms, including women and girls. The National Approach is developed based on the ‘</w:t>
      </w:r>
      <w:r w:rsidRPr="00673E80">
        <w:rPr>
          <w:rFonts w:cstheme="minorHAnsi"/>
        </w:rPr>
        <w:t>4 Ps framework’ of ‘Prevention’, ‘Prosecution’, ‘Protection’, and ‘Partnership’</w:t>
      </w:r>
      <w:r w:rsidRPr="00EB5A12">
        <w:rPr>
          <w:rFonts w:cstheme="minorHAnsi"/>
        </w:rPr>
        <w:t>.</w:t>
      </w:r>
    </w:p>
    <w:p w14:paraId="74123025" w14:textId="6A397A06" w:rsidR="001636CF" w:rsidRPr="00684FEE" w:rsidRDefault="00C74EF6" w:rsidP="0045392A">
      <w:pPr>
        <w:pStyle w:val="ListParagraph"/>
        <w:numPr>
          <w:ilvl w:val="0"/>
          <w:numId w:val="32"/>
        </w:numPr>
        <w:rPr>
          <w:i/>
          <w:iCs/>
        </w:rPr>
      </w:pPr>
      <w:r>
        <w:rPr>
          <w:i/>
          <w:iCs/>
        </w:rPr>
        <w:t>Prevention</w:t>
      </w:r>
    </w:p>
    <w:p w14:paraId="1A85AA32" w14:textId="77777777" w:rsidR="006B221D" w:rsidRPr="00EB5A12" w:rsidRDefault="006B221D" w:rsidP="006B221D">
      <w:pPr>
        <w:jc w:val="both"/>
        <w:rPr>
          <w:rFonts w:cstheme="minorHAnsi"/>
        </w:rPr>
      </w:pPr>
      <w:r w:rsidRPr="00EB5A12">
        <w:rPr>
          <w:rFonts w:cstheme="minorHAnsi"/>
        </w:rPr>
        <w:lastRenderedPageBreak/>
        <w:t xml:space="preserve">Singapore has actively taken steps to prevent, combat, and suppress TIP. </w:t>
      </w:r>
    </w:p>
    <w:p w14:paraId="14DF1164" w14:textId="77777777" w:rsidR="006B221D" w:rsidRPr="00EB5A12" w:rsidRDefault="006B221D" w:rsidP="006B221D">
      <w:pPr>
        <w:pStyle w:val="ListParagraph"/>
        <w:numPr>
          <w:ilvl w:val="0"/>
          <w:numId w:val="76"/>
        </w:numPr>
        <w:jc w:val="both"/>
        <w:rPr>
          <w:rFonts w:cstheme="minorHAnsi"/>
        </w:rPr>
      </w:pPr>
      <w:r w:rsidRPr="00673E80">
        <w:rPr>
          <w:rFonts w:cstheme="minorHAnsi"/>
        </w:rPr>
        <w:t>Enhanced border security measures</w:t>
      </w:r>
      <w:r w:rsidRPr="00EB5A12">
        <w:rPr>
          <w:rFonts w:cstheme="minorHAnsi"/>
        </w:rPr>
        <w:t xml:space="preserve"> and </w:t>
      </w:r>
      <w:r w:rsidRPr="00673E80">
        <w:rPr>
          <w:rFonts w:cstheme="minorHAnsi"/>
        </w:rPr>
        <w:t>proactive detection</w:t>
      </w:r>
      <w:r w:rsidRPr="00EB5A12">
        <w:rPr>
          <w:rFonts w:cstheme="minorHAnsi"/>
        </w:rPr>
        <w:t xml:space="preserve"> at checkpoints over the past decade have made it significantly more difficult for TIP and human smuggling into Singapore. The frontline enforcement officers are regularly trained to maintain competency in identifying and handling TIP cases and in keeping up to date with TIP trends.</w:t>
      </w:r>
    </w:p>
    <w:p w14:paraId="4CAAD8E8" w14:textId="77777777" w:rsidR="006B221D" w:rsidRPr="00EB5A12" w:rsidRDefault="006B221D" w:rsidP="006B221D">
      <w:pPr>
        <w:pStyle w:val="ListParagraph"/>
        <w:jc w:val="both"/>
        <w:rPr>
          <w:rFonts w:cstheme="minorHAnsi"/>
        </w:rPr>
      </w:pPr>
    </w:p>
    <w:p w14:paraId="5150233B" w14:textId="77777777" w:rsidR="006B221D" w:rsidRDefault="006B221D" w:rsidP="006B221D">
      <w:pPr>
        <w:pStyle w:val="ListParagraph"/>
        <w:numPr>
          <w:ilvl w:val="0"/>
          <w:numId w:val="76"/>
        </w:numPr>
        <w:jc w:val="both"/>
        <w:rPr>
          <w:rFonts w:cstheme="minorHAnsi"/>
        </w:rPr>
      </w:pPr>
      <w:r w:rsidRPr="00673E80">
        <w:rPr>
          <w:rFonts w:cstheme="minorHAnsi"/>
        </w:rPr>
        <w:t>There are multiple open channels for TIP victims to seek assistance or be detected</w:t>
      </w:r>
      <w:r w:rsidRPr="00EB5A12">
        <w:rPr>
          <w:rFonts w:cstheme="minorHAnsi"/>
        </w:rPr>
        <w:t xml:space="preserve">, such as Police’s general ‘999’ hotline, a dedicated hotline and a dedicated Trafficking email channel, and engagement with Police officers conducting enforcement raids and from NGO referrals. </w:t>
      </w:r>
    </w:p>
    <w:p w14:paraId="0A647E4E" w14:textId="77777777" w:rsidR="006B221D" w:rsidRPr="00A64C22" w:rsidRDefault="006B221D" w:rsidP="006B221D">
      <w:pPr>
        <w:pStyle w:val="ListParagraph"/>
        <w:rPr>
          <w:rFonts w:cstheme="minorHAnsi"/>
        </w:rPr>
      </w:pPr>
    </w:p>
    <w:p w14:paraId="4C4E3114" w14:textId="77777777" w:rsidR="006B221D" w:rsidRPr="00485EE8" w:rsidRDefault="006B221D" w:rsidP="006B221D">
      <w:pPr>
        <w:pStyle w:val="ListParagraph"/>
        <w:numPr>
          <w:ilvl w:val="0"/>
          <w:numId w:val="76"/>
        </w:numPr>
        <w:jc w:val="both"/>
        <w:rPr>
          <w:rFonts w:cstheme="minorHAnsi"/>
        </w:rPr>
      </w:pPr>
      <w:r w:rsidRPr="00A64C22">
        <w:rPr>
          <w:rFonts w:cstheme="minorHAnsi"/>
        </w:rPr>
        <w:t xml:space="preserve">The Ministry of Manpower (MOM) </w:t>
      </w:r>
      <w:r w:rsidRPr="00673E80">
        <w:rPr>
          <w:rFonts w:cstheme="minorHAnsi"/>
        </w:rPr>
        <w:t>engages migrant workers pre-emptively</w:t>
      </w:r>
      <w:r w:rsidRPr="00A64C22">
        <w:rPr>
          <w:rFonts w:cstheme="minorHAnsi"/>
        </w:rPr>
        <w:t xml:space="preserve"> to ensure they understand their employment rights and know where to seek help in Singapore. This happens even before they come to Singapore as well as when they arrive on our shores. This heightens their awareness to trafficking and decreases their risk of being exploited here.</w:t>
      </w:r>
    </w:p>
    <w:p w14:paraId="6EBDB5B0" w14:textId="77777777" w:rsidR="006B221D" w:rsidRPr="00A64C22" w:rsidRDefault="006B221D" w:rsidP="006B221D">
      <w:pPr>
        <w:pStyle w:val="ListParagraph"/>
        <w:rPr>
          <w:rFonts w:cstheme="minorHAnsi"/>
        </w:rPr>
      </w:pPr>
    </w:p>
    <w:p w14:paraId="7EF01094" w14:textId="77777777" w:rsidR="006B221D" w:rsidRPr="00485EE8" w:rsidRDefault="006B221D" w:rsidP="006B221D">
      <w:pPr>
        <w:pStyle w:val="ListParagraph"/>
        <w:numPr>
          <w:ilvl w:val="0"/>
          <w:numId w:val="76"/>
        </w:numPr>
        <w:jc w:val="both"/>
        <w:rPr>
          <w:rFonts w:cstheme="minorHAnsi"/>
        </w:rPr>
      </w:pPr>
      <w:r w:rsidRPr="00A64C22">
        <w:rPr>
          <w:rFonts w:cstheme="minorHAnsi"/>
        </w:rPr>
        <w:t xml:space="preserve">We continue to </w:t>
      </w:r>
      <w:r w:rsidRPr="00673E80">
        <w:rPr>
          <w:rFonts w:cstheme="minorHAnsi"/>
        </w:rPr>
        <w:t>expand capabilities in understanding psychological coercion</w:t>
      </w:r>
      <w:r w:rsidRPr="00A64C22">
        <w:rPr>
          <w:rFonts w:cstheme="minorHAnsi"/>
        </w:rPr>
        <w:t xml:space="preserve"> through professional research study, using the key findings to develop evidence-informed tools and enhance training in victim identification and investigation.</w:t>
      </w:r>
    </w:p>
    <w:p w14:paraId="2F2AEC84" w14:textId="77777777" w:rsidR="006B221D" w:rsidRPr="00684FEE" w:rsidRDefault="006B221D" w:rsidP="00342686">
      <w:pPr>
        <w:pStyle w:val="ListParagraph"/>
        <w:ind w:left="1080"/>
        <w:rPr>
          <w:i/>
          <w:iCs/>
        </w:rPr>
      </w:pPr>
    </w:p>
    <w:p w14:paraId="26E1F78E" w14:textId="0B004726" w:rsidR="00184550" w:rsidRPr="00D20867" w:rsidRDefault="002600F8" w:rsidP="00D20867">
      <w:pPr>
        <w:pStyle w:val="ListParagraph"/>
        <w:numPr>
          <w:ilvl w:val="0"/>
          <w:numId w:val="32"/>
        </w:numPr>
        <w:rPr>
          <w:i/>
        </w:rPr>
      </w:pPr>
      <w:r>
        <w:rPr>
          <w:i/>
          <w:iCs/>
        </w:rPr>
        <w:t>Prosecution</w:t>
      </w:r>
    </w:p>
    <w:p w14:paraId="32B899D1" w14:textId="77777777" w:rsidR="00184550" w:rsidRPr="00485EE8" w:rsidRDefault="00184550" w:rsidP="00184550">
      <w:pPr>
        <w:jc w:val="both"/>
        <w:rPr>
          <w:rFonts w:cstheme="minorHAnsi"/>
          <w:u w:val="single"/>
        </w:rPr>
      </w:pPr>
      <w:r w:rsidRPr="00EB5A12">
        <w:rPr>
          <w:rFonts w:cstheme="minorHAnsi"/>
        </w:rPr>
        <w:t xml:space="preserve">Singapore has put in place an effective end to end criminal justice response to TIP crimes. </w:t>
      </w:r>
    </w:p>
    <w:p w14:paraId="6EF1B214" w14:textId="1696EE3B" w:rsidR="00184550" w:rsidRPr="00EB5A12" w:rsidRDefault="00184550" w:rsidP="00184550">
      <w:pPr>
        <w:pStyle w:val="ListParagraph"/>
        <w:numPr>
          <w:ilvl w:val="0"/>
          <w:numId w:val="48"/>
        </w:numPr>
        <w:ind w:left="720"/>
        <w:jc w:val="both"/>
        <w:rPr>
          <w:rFonts w:cstheme="minorHAnsi"/>
        </w:rPr>
      </w:pPr>
      <w:r w:rsidRPr="00673E80">
        <w:rPr>
          <w:rFonts w:cstheme="minorHAnsi"/>
        </w:rPr>
        <w:t>The Prevention of Human Trafficking Act 2014 (PHTA) is the primary legislation against TIP,</w:t>
      </w:r>
      <w:r w:rsidRPr="00EB5A12">
        <w:rPr>
          <w:rFonts w:cstheme="minorHAnsi"/>
          <w:b/>
          <w:bCs/>
        </w:rPr>
        <w:t xml:space="preserve"> </w:t>
      </w:r>
      <w:r w:rsidRPr="00EB5A12">
        <w:rPr>
          <w:rFonts w:cstheme="minorHAnsi"/>
        </w:rPr>
        <w:t xml:space="preserve">it defines the offence of TIP based on an internationally accepted definition of TIP. There are severe penalties under the PHTA and other legislative levers, to deter traffickers. First-time offenders can be sentenced to mandatory imprisonment for up to 10 years, a mandatory fine of up to </w:t>
      </w:r>
      <w:r w:rsidR="00DF78D0">
        <w:rPr>
          <w:rFonts w:cs="Arial"/>
          <w:szCs w:val="24"/>
          <w:lang w:eastAsia="en-SG"/>
        </w:rPr>
        <w:t>SGD</w:t>
      </w:r>
      <w:r w:rsidRPr="00EB5A12">
        <w:rPr>
          <w:rFonts w:cstheme="minorHAnsi"/>
        </w:rPr>
        <w:t xml:space="preserve"> $100,000, and be liable to caning up to 6 strokes. Penalties are enhanced for recalcitrant offenders where they can be sentenced to mandatory imprisonment for up to 15 years, a mandatory fine of up to </w:t>
      </w:r>
      <w:r w:rsidR="00744B55">
        <w:rPr>
          <w:rFonts w:cs="Arial"/>
          <w:szCs w:val="24"/>
          <w:lang w:eastAsia="en-SG"/>
        </w:rPr>
        <w:t xml:space="preserve">SGD </w:t>
      </w:r>
      <w:r w:rsidRPr="00EB5A12">
        <w:rPr>
          <w:rFonts w:cstheme="minorHAnsi"/>
        </w:rPr>
        <w:t>$150,000 and mandatory caning up to 9 strokes.</w:t>
      </w:r>
    </w:p>
    <w:p w14:paraId="49498A39" w14:textId="77777777" w:rsidR="00184550" w:rsidRPr="00EB5A12" w:rsidRDefault="00184550" w:rsidP="00184550">
      <w:pPr>
        <w:pStyle w:val="ListParagraph"/>
        <w:jc w:val="both"/>
        <w:rPr>
          <w:rFonts w:cstheme="minorHAnsi"/>
        </w:rPr>
      </w:pPr>
    </w:p>
    <w:p w14:paraId="25488859" w14:textId="77777777" w:rsidR="00184550" w:rsidRDefault="00184550" w:rsidP="00184550">
      <w:pPr>
        <w:pStyle w:val="ListParagraph"/>
        <w:numPr>
          <w:ilvl w:val="0"/>
          <w:numId w:val="48"/>
        </w:numPr>
        <w:ind w:left="720"/>
        <w:jc w:val="both"/>
        <w:rPr>
          <w:rFonts w:cstheme="minorHAnsi"/>
        </w:rPr>
      </w:pPr>
      <w:r w:rsidRPr="00673E80">
        <w:rPr>
          <w:rFonts w:cstheme="minorHAnsi"/>
        </w:rPr>
        <w:t>PHTA is complemented by a broader legislative arsenal to address the complex nature of TIP effectively and comprehensively.</w:t>
      </w:r>
      <w:r w:rsidRPr="00EB5A12">
        <w:rPr>
          <w:rFonts w:cstheme="minorHAnsi"/>
        </w:rPr>
        <w:t xml:space="preserve"> For cases that may not fulfil the PHTA elements wholly can be pursued under a wide toolkit of legislation. This includes the Penal Code 1871 (PC), Women’s Charter 1961 (WC), Employment of Foreign Manpower Act 1990 (EFMA) and Employment Act 1968 (EA).</w:t>
      </w:r>
    </w:p>
    <w:p w14:paraId="6AA3776D" w14:textId="77777777" w:rsidR="00184550" w:rsidRPr="00A64C22" w:rsidRDefault="00184550" w:rsidP="00184550">
      <w:pPr>
        <w:pStyle w:val="ListParagraph"/>
        <w:rPr>
          <w:rFonts w:cstheme="minorHAnsi"/>
        </w:rPr>
      </w:pPr>
    </w:p>
    <w:p w14:paraId="1C297A2D" w14:textId="77777777" w:rsidR="00184550" w:rsidRDefault="00184550" w:rsidP="00184550">
      <w:pPr>
        <w:pStyle w:val="ListParagraph"/>
        <w:numPr>
          <w:ilvl w:val="0"/>
          <w:numId w:val="48"/>
        </w:numPr>
        <w:ind w:left="720"/>
        <w:jc w:val="both"/>
        <w:rPr>
          <w:rFonts w:cstheme="minorHAnsi"/>
        </w:rPr>
      </w:pPr>
      <w:r w:rsidRPr="00A64C22">
        <w:rPr>
          <w:rFonts w:cstheme="minorHAnsi"/>
        </w:rPr>
        <w:t xml:space="preserve">Singapore </w:t>
      </w:r>
      <w:r w:rsidRPr="00673E80">
        <w:rPr>
          <w:rFonts w:cstheme="minorHAnsi"/>
        </w:rPr>
        <w:t>regularly reviews and update our legislation to keep up with emerging trends</w:t>
      </w:r>
      <w:r w:rsidRPr="00A64C22">
        <w:rPr>
          <w:rFonts w:cstheme="minorHAnsi"/>
        </w:rPr>
        <w:t xml:space="preserve">, such as amending the Women’s Charter to enhance law enforcement levers against vice perpetrators, and the Criminal Law Reform Act and Penal Code to accord minors more protection against sexual predators. </w:t>
      </w:r>
    </w:p>
    <w:p w14:paraId="61501B6D" w14:textId="77777777" w:rsidR="00184550" w:rsidRDefault="00184550" w:rsidP="00342686">
      <w:pPr>
        <w:pStyle w:val="ListParagraph"/>
        <w:ind w:left="1080"/>
        <w:rPr>
          <w:i/>
          <w:iCs/>
        </w:rPr>
      </w:pPr>
    </w:p>
    <w:p w14:paraId="7A8752C8" w14:textId="7E778778" w:rsidR="00184550" w:rsidRDefault="002600F8" w:rsidP="00184550">
      <w:pPr>
        <w:pStyle w:val="ListParagraph"/>
        <w:numPr>
          <w:ilvl w:val="0"/>
          <w:numId w:val="32"/>
        </w:numPr>
        <w:rPr>
          <w:i/>
          <w:iCs/>
        </w:rPr>
      </w:pPr>
      <w:r>
        <w:rPr>
          <w:i/>
          <w:iCs/>
        </w:rPr>
        <w:t xml:space="preserve"> </w:t>
      </w:r>
      <w:r w:rsidR="004A0204" w:rsidRPr="00684FEE">
        <w:rPr>
          <w:i/>
          <w:iCs/>
        </w:rPr>
        <w:t xml:space="preserve"> </w:t>
      </w:r>
      <w:r w:rsidR="00184550">
        <w:rPr>
          <w:i/>
          <w:iCs/>
        </w:rPr>
        <w:t xml:space="preserve">Protection </w:t>
      </w:r>
    </w:p>
    <w:p w14:paraId="5225DF0F" w14:textId="0AC1D60C" w:rsidR="003A4E3B" w:rsidRDefault="003A4E3B" w:rsidP="003A4E3B">
      <w:pPr>
        <w:pStyle w:val="Default"/>
        <w:jc w:val="both"/>
        <w:rPr>
          <w:rFonts w:asciiTheme="minorHAnsi" w:hAnsiTheme="minorHAnsi" w:cstheme="minorHAnsi"/>
          <w:color w:val="auto"/>
          <w:sz w:val="22"/>
          <w:szCs w:val="22"/>
          <w:lang w:val="en-US"/>
        </w:rPr>
      </w:pPr>
      <w:r w:rsidRPr="00485EE8">
        <w:rPr>
          <w:rFonts w:asciiTheme="minorHAnsi" w:hAnsiTheme="minorHAnsi" w:cstheme="minorHAnsi"/>
          <w:color w:val="auto"/>
          <w:sz w:val="22"/>
          <w:szCs w:val="22"/>
          <w:lang w:val="en-US"/>
        </w:rPr>
        <w:lastRenderedPageBreak/>
        <w:t>Singapore has established an appropriate victim care and support framework that looks after the needs of all victims of trafficking</w:t>
      </w:r>
      <w:r w:rsidRPr="00EB5A12">
        <w:rPr>
          <w:rFonts w:asciiTheme="minorHAnsi" w:hAnsiTheme="minorHAnsi" w:cstheme="minorHAnsi"/>
          <w:color w:val="auto"/>
          <w:sz w:val="22"/>
          <w:szCs w:val="22"/>
          <w:lang w:val="en-US"/>
        </w:rPr>
        <w:t>.</w:t>
      </w:r>
      <w:r w:rsidR="00264C30">
        <w:rPr>
          <w:rFonts w:asciiTheme="minorHAnsi" w:hAnsiTheme="minorHAnsi" w:cstheme="minorHAnsi"/>
          <w:color w:val="auto"/>
          <w:sz w:val="22"/>
          <w:szCs w:val="22"/>
          <w:lang w:val="en-US"/>
        </w:rPr>
        <w:tab/>
      </w:r>
      <w:r w:rsidR="00264C30">
        <w:rPr>
          <w:rFonts w:asciiTheme="minorHAnsi" w:hAnsiTheme="minorHAnsi" w:cstheme="minorHAnsi"/>
          <w:color w:val="auto"/>
          <w:sz w:val="22"/>
          <w:szCs w:val="22"/>
          <w:lang w:val="en-US"/>
        </w:rPr>
        <w:br/>
      </w:r>
    </w:p>
    <w:p w14:paraId="590DCD93" w14:textId="77777777" w:rsidR="007D3645" w:rsidRPr="00EB5A12" w:rsidRDefault="007D3645" w:rsidP="007D3645">
      <w:pPr>
        <w:pStyle w:val="Default"/>
        <w:numPr>
          <w:ilvl w:val="0"/>
          <w:numId w:val="77"/>
        </w:numPr>
        <w:ind w:left="720"/>
        <w:jc w:val="both"/>
        <w:rPr>
          <w:rFonts w:asciiTheme="minorHAnsi" w:hAnsiTheme="minorHAnsi" w:cstheme="minorHAnsi"/>
          <w:sz w:val="22"/>
          <w:szCs w:val="22"/>
        </w:rPr>
      </w:pPr>
      <w:r w:rsidRPr="00673E80">
        <w:rPr>
          <w:rFonts w:asciiTheme="minorHAnsi" w:hAnsiTheme="minorHAnsi" w:cstheme="minorHAnsi"/>
          <w:sz w:val="22"/>
          <w:szCs w:val="22"/>
        </w:rPr>
        <w:t>Singapore works closely with NGOs to provide a range of victim support services to TIP victims</w:t>
      </w:r>
      <w:r w:rsidRPr="00485EE8">
        <w:rPr>
          <w:rFonts w:asciiTheme="minorHAnsi" w:hAnsiTheme="minorHAnsi" w:cstheme="minorHAnsi"/>
          <w:sz w:val="22"/>
          <w:szCs w:val="22"/>
        </w:rPr>
        <w:t>. Alleged TIP victims need not wait for their cases to be established as TIP cases before they can receive the necessary support. The types of victim support services available to TIP victims extend beyond shelter and counselling services to include medical care, translation services, consular</w:t>
      </w:r>
      <w:r w:rsidRPr="00485EE8">
        <w:rPr>
          <w:rFonts w:asciiTheme="minorHAnsi" w:hAnsiTheme="minorHAnsi" w:cstheme="minorHAnsi"/>
          <w:b/>
          <w:bCs/>
          <w:sz w:val="22"/>
          <w:szCs w:val="22"/>
        </w:rPr>
        <w:t xml:space="preserve"> </w:t>
      </w:r>
      <w:r w:rsidRPr="00485EE8">
        <w:rPr>
          <w:rFonts w:asciiTheme="minorHAnsi" w:hAnsiTheme="minorHAnsi" w:cstheme="minorHAnsi"/>
          <w:sz w:val="22"/>
          <w:szCs w:val="22"/>
        </w:rPr>
        <w:t>support, temporary job placement, regularised stay in Singapore via Special Passes, home leave, and special care after case conclusion</w:t>
      </w:r>
      <w:r w:rsidRPr="00EB5A12">
        <w:rPr>
          <w:rFonts w:asciiTheme="minorHAnsi" w:hAnsiTheme="minorHAnsi" w:cstheme="minorHAnsi"/>
          <w:sz w:val="22"/>
          <w:szCs w:val="22"/>
        </w:rPr>
        <w:t>.</w:t>
      </w:r>
    </w:p>
    <w:p w14:paraId="01946E54" w14:textId="77777777" w:rsidR="007D3645" w:rsidRPr="00EB5A12" w:rsidRDefault="007D3645" w:rsidP="007D3645">
      <w:pPr>
        <w:pStyle w:val="Default"/>
        <w:ind w:left="720"/>
        <w:jc w:val="both"/>
        <w:rPr>
          <w:rFonts w:asciiTheme="minorHAnsi" w:hAnsiTheme="minorHAnsi" w:cstheme="minorHAnsi"/>
          <w:sz w:val="22"/>
          <w:szCs w:val="22"/>
        </w:rPr>
      </w:pPr>
    </w:p>
    <w:p w14:paraId="36592B89" w14:textId="27B3FFE9" w:rsidR="007D3645" w:rsidRPr="00D20867" w:rsidRDefault="007D3645" w:rsidP="007D3645">
      <w:pPr>
        <w:pStyle w:val="Default"/>
        <w:numPr>
          <w:ilvl w:val="0"/>
          <w:numId w:val="77"/>
        </w:numPr>
        <w:ind w:left="720"/>
        <w:jc w:val="both"/>
        <w:rPr>
          <w:rFonts w:asciiTheme="minorHAnsi" w:hAnsiTheme="minorHAnsi" w:cstheme="minorHAnsi"/>
          <w:sz w:val="22"/>
          <w:szCs w:val="22"/>
        </w:rPr>
      </w:pPr>
      <w:r>
        <w:rPr>
          <w:rFonts w:asciiTheme="minorHAnsi" w:hAnsiTheme="minorHAnsi" w:cstheme="minorHAnsi"/>
          <w:sz w:val="22"/>
          <w:szCs w:val="22"/>
          <w:lang w:val="en-US" w:bidi="en-US"/>
        </w:rPr>
        <w:t>T</w:t>
      </w:r>
      <w:r w:rsidRPr="008613D0">
        <w:rPr>
          <w:rFonts w:asciiTheme="minorHAnsi" w:hAnsiTheme="minorHAnsi" w:cstheme="minorHAnsi"/>
          <w:sz w:val="22"/>
          <w:szCs w:val="22"/>
          <w:lang w:val="en-US" w:bidi="en-US"/>
        </w:rPr>
        <w:t xml:space="preserve">he </w:t>
      </w:r>
      <w:r w:rsidRPr="00673E80">
        <w:rPr>
          <w:rFonts w:asciiTheme="minorHAnsi" w:hAnsiTheme="minorHAnsi" w:cstheme="minorHAnsi"/>
          <w:sz w:val="22"/>
          <w:szCs w:val="22"/>
          <w:lang w:val="en-US" w:bidi="en-US"/>
        </w:rPr>
        <w:t>One-Stop Abuse Forensic Examination (</w:t>
      </w:r>
      <w:proofErr w:type="spellStart"/>
      <w:r w:rsidRPr="00673E80">
        <w:rPr>
          <w:rFonts w:asciiTheme="minorHAnsi" w:hAnsiTheme="minorHAnsi" w:cstheme="minorHAnsi"/>
          <w:sz w:val="22"/>
          <w:szCs w:val="22"/>
          <w:lang w:val="en-US" w:bidi="en-US"/>
        </w:rPr>
        <w:t>OneSAFE</w:t>
      </w:r>
      <w:proofErr w:type="spellEnd"/>
      <w:r w:rsidRPr="00673E80">
        <w:rPr>
          <w:rFonts w:asciiTheme="minorHAnsi" w:hAnsiTheme="minorHAnsi" w:cstheme="minorHAnsi"/>
          <w:sz w:val="22"/>
          <w:szCs w:val="22"/>
          <w:lang w:val="en-US" w:bidi="en-US"/>
        </w:rPr>
        <w:t>) Centre</w:t>
      </w:r>
      <w:r w:rsidRPr="008613D0">
        <w:rPr>
          <w:rFonts w:asciiTheme="minorHAnsi" w:hAnsiTheme="minorHAnsi" w:cstheme="minorHAnsi"/>
          <w:sz w:val="22"/>
          <w:szCs w:val="22"/>
          <w:lang w:val="en-US" w:bidi="en-US"/>
        </w:rPr>
        <w:t xml:space="preserve"> allows for interviews and forensic examinations by medical professionals to be conducted within a single location, with </w:t>
      </w:r>
      <w:proofErr w:type="spellStart"/>
      <w:r w:rsidRPr="008613D0">
        <w:rPr>
          <w:rFonts w:asciiTheme="minorHAnsi" w:hAnsiTheme="minorHAnsi" w:cstheme="minorHAnsi"/>
          <w:sz w:val="22"/>
          <w:szCs w:val="22"/>
          <w:lang w:val="en-US" w:bidi="en-US"/>
        </w:rPr>
        <w:t>specialised</w:t>
      </w:r>
      <w:proofErr w:type="spellEnd"/>
      <w:r w:rsidRPr="008613D0">
        <w:rPr>
          <w:rFonts w:asciiTheme="minorHAnsi" w:hAnsiTheme="minorHAnsi" w:cstheme="minorHAnsi"/>
          <w:sz w:val="22"/>
          <w:szCs w:val="22"/>
          <w:lang w:val="en-US" w:bidi="en-US"/>
        </w:rPr>
        <w:t xml:space="preserve"> facilities that offer privacy and convenience to victims, i.e. the victim only needs to recount the traumatic experience once. </w:t>
      </w:r>
      <w:r w:rsidRPr="00485EE8">
        <w:rPr>
          <w:rFonts w:asciiTheme="minorHAnsi" w:hAnsiTheme="minorHAnsi" w:cstheme="minorHAnsi"/>
          <w:sz w:val="22"/>
          <w:szCs w:val="22"/>
          <w:lang w:val="en-US" w:bidi="en-US"/>
        </w:rPr>
        <w:t xml:space="preserve">The </w:t>
      </w:r>
      <w:proofErr w:type="spellStart"/>
      <w:r w:rsidRPr="00485EE8">
        <w:rPr>
          <w:rFonts w:asciiTheme="minorHAnsi" w:hAnsiTheme="minorHAnsi" w:cstheme="minorHAnsi"/>
          <w:sz w:val="22"/>
          <w:szCs w:val="22"/>
          <w:lang w:val="en-US" w:bidi="en-US"/>
        </w:rPr>
        <w:t>OneSAFE</w:t>
      </w:r>
      <w:proofErr w:type="spellEnd"/>
      <w:r w:rsidRPr="00485EE8">
        <w:rPr>
          <w:rFonts w:asciiTheme="minorHAnsi" w:hAnsiTheme="minorHAnsi" w:cstheme="minorHAnsi"/>
          <w:sz w:val="22"/>
          <w:szCs w:val="22"/>
          <w:lang w:val="en-US" w:bidi="en-US"/>
        </w:rPr>
        <w:t xml:space="preserve"> Centre was redesigned and expanded in 2023 with a dedicated victim care area to further enhance privacy and comfort during the investigation process</w:t>
      </w:r>
      <w:r w:rsidRPr="00EB5A12">
        <w:rPr>
          <w:rFonts w:asciiTheme="minorHAnsi" w:hAnsiTheme="minorHAnsi" w:cstheme="minorHAnsi"/>
          <w:sz w:val="22"/>
          <w:szCs w:val="22"/>
          <w:lang w:val="en-US" w:bidi="en-US"/>
        </w:rPr>
        <w:t>.</w:t>
      </w:r>
      <w:r w:rsidR="00B917BE">
        <w:rPr>
          <w:rFonts w:asciiTheme="minorHAnsi" w:hAnsiTheme="minorHAnsi" w:cstheme="minorHAnsi"/>
          <w:sz w:val="22"/>
          <w:szCs w:val="22"/>
          <w:lang w:val="en-US" w:bidi="en-US"/>
        </w:rPr>
        <w:br/>
      </w:r>
    </w:p>
    <w:p w14:paraId="430106BB" w14:textId="040B59A6" w:rsidR="007D3645" w:rsidRPr="003242C5" w:rsidRDefault="00D72F6F" w:rsidP="003A4E3B">
      <w:pPr>
        <w:pStyle w:val="Default"/>
        <w:numPr>
          <w:ilvl w:val="0"/>
          <w:numId w:val="77"/>
        </w:numPr>
        <w:ind w:left="720"/>
        <w:jc w:val="both"/>
        <w:rPr>
          <w:rFonts w:asciiTheme="minorHAnsi" w:hAnsiTheme="minorHAnsi" w:cstheme="minorHAnsi"/>
          <w:sz w:val="22"/>
          <w:szCs w:val="22"/>
          <w:lang w:bidi="en-US"/>
        </w:rPr>
      </w:pPr>
      <w:r w:rsidRPr="00EB5A12">
        <w:rPr>
          <w:rFonts w:asciiTheme="minorHAnsi" w:hAnsiTheme="minorHAnsi" w:cstheme="minorHAnsi"/>
          <w:sz w:val="22"/>
          <w:szCs w:val="22"/>
          <w:lang w:val="en-US" w:bidi="en-US"/>
        </w:rPr>
        <w:t>In partnership with NGO Hagar Singapore, the</w:t>
      </w:r>
      <w:r w:rsidRPr="00EB5A12">
        <w:rPr>
          <w:rFonts w:asciiTheme="minorHAnsi" w:hAnsiTheme="minorHAnsi" w:cstheme="minorHAnsi"/>
          <w:b/>
          <w:bCs/>
          <w:sz w:val="22"/>
          <w:szCs w:val="22"/>
          <w:lang w:val="en-US" w:bidi="en-US"/>
        </w:rPr>
        <w:t xml:space="preserve"> </w:t>
      </w:r>
      <w:r w:rsidRPr="00673E80">
        <w:rPr>
          <w:rFonts w:asciiTheme="minorHAnsi" w:hAnsiTheme="minorHAnsi" w:cstheme="minorHAnsi"/>
          <w:sz w:val="22"/>
          <w:szCs w:val="22"/>
          <w:lang w:val="en-US" w:bidi="en-US"/>
        </w:rPr>
        <w:t>Project Supporting Persons After Trafficking (SPARK)</w:t>
      </w:r>
      <w:r w:rsidRPr="00EB5A12">
        <w:rPr>
          <w:rFonts w:asciiTheme="minorHAnsi" w:hAnsiTheme="minorHAnsi" w:cstheme="minorHAnsi"/>
          <w:sz w:val="22"/>
          <w:szCs w:val="22"/>
          <w:lang w:val="en-US" w:bidi="en-US"/>
        </w:rPr>
        <w:t xml:space="preserve"> was implemented in 2023. Project SPARK seeks to enhance support for TIP victims in the initial period as they recover and settle into a new stable routine whilst assisting the authorities in the case. The enhanced support is in the form of a care package, each worth </w:t>
      </w:r>
      <w:r w:rsidR="00744B55" w:rsidRPr="00673E80">
        <w:rPr>
          <w:rFonts w:asciiTheme="minorHAnsi" w:hAnsiTheme="minorHAnsi" w:cstheme="minorHAnsi"/>
          <w:sz w:val="22"/>
          <w:szCs w:val="22"/>
          <w:lang w:eastAsia="en-SG"/>
        </w:rPr>
        <w:t>SGD</w:t>
      </w:r>
      <w:r w:rsidR="00744B55" w:rsidRPr="00673E80">
        <w:rPr>
          <w:rFonts w:cs="Arial"/>
          <w:sz w:val="22"/>
          <w:szCs w:val="22"/>
          <w:lang w:eastAsia="en-SG"/>
        </w:rPr>
        <w:t xml:space="preserve"> </w:t>
      </w:r>
      <w:r w:rsidRPr="00EB5A12">
        <w:rPr>
          <w:rFonts w:asciiTheme="minorHAnsi" w:hAnsiTheme="minorHAnsi" w:cstheme="minorHAnsi"/>
          <w:sz w:val="22"/>
          <w:szCs w:val="22"/>
          <w:lang w:val="en-US" w:bidi="en-US"/>
        </w:rPr>
        <w:t xml:space="preserve">$750, consisting of </w:t>
      </w:r>
      <w:proofErr w:type="gramStart"/>
      <w:r w:rsidRPr="00EB5A12">
        <w:rPr>
          <w:rFonts w:asciiTheme="minorHAnsi" w:hAnsiTheme="minorHAnsi" w:cstheme="minorHAnsi"/>
          <w:sz w:val="22"/>
          <w:szCs w:val="22"/>
          <w:lang w:val="en-US" w:bidi="en-US"/>
        </w:rPr>
        <w:t>basic necessities</w:t>
      </w:r>
      <w:proofErr w:type="gramEnd"/>
      <w:r w:rsidRPr="00EB5A12">
        <w:rPr>
          <w:rFonts w:asciiTheme="minorHAnsi" w:hAnsiTheme="minorHAnsi" w:cstheme="minorHAnsi"/>
          <w:sz w:val="22"/>
          <w:szCs w:val="22"/>
          <w:lang w:val="en-US" w:bidi="en-US"/>
        </w:rPr>
        <w:t xml:space="preserve">. Project SPARK complements existing forms of assistance for TIP victims such as shelter, counselling, medical care, and temporary job placement. </w:t>
      </w:r>
    </w:p>
    <w:p w14:paraId="1FF60775" w14:textId="77777777" w:rsidR="003A4E3B" w:rsidRDefault="003A4E3B" w:rsidP="00342686">
      <w:pPr>
        <w:pStyle w:val="ListParagraph"/>
        <w:ind w:left="1080"/>
        <w:rPr>
          <w:i/>
          <w:iCs/>
        </w:rPr>
      </w:pPr>
    </w:p>
    <w:p w14:paraId="550F5D25" w14:textId="30EE4D21" w:rsidR="00184550" w:rsidRDefault="00D104E4" w:rsidP="00184550">
      <w:pPr>
        <w:pStyle w:val="ListParagraph"/>
        <w:numPr>
          <w:ilvl w:val="0"/>
          <w:numId w:val="32"/>
        </w:numPr>
        <w:rPr>
          <w:i/>
          <w:iCs/>
        </w:rPr>
      </w:pPr>
      <w:r>
        <w:rPr>
          <w:i/>
          <w:iCs/>
        </w:rPr>
        <w:t xml:space="preserve">Partnerships </w:t>
      </w:r>
    </w:p>
    <w:p w14:paraId="44742487" w14:textId="39187A19" w:rsidR="000E6B5A" w:rsidRPr="00342686" w:rsidRDefault="000E6B5A" w:rsidP="00342686">
      <w:pPr>
        <w:rPr>
          <w:i/>
          <w:iCs/>
        </w:rPr>
      </w:pPr>
      <w:r w:rsidRPr="42ED2C3E">
        <w:rPr>
          <w:lang w:eastAsia="en-SG"/>
        </w:rPr>
        <w:t>Singapore has established a strong ecosystem comprising both domestic and international stakeholders to put forth a whole of Singapore response against TIP</w:t>
      </w:r>
      <w:r w:rsidR="00342686">
        <w:rPr>
          <w:lang w:eastAsia="en-SG"/>
        </w:rPr>
        <w:t>.</w:t>
      </w:r>
    </w:p>
    <w:p w14:paraId="01E4770F" w14:textId="77777777" w:rsidR="00A42646" w:rsidRPr="00A42646" w:rsidRDefault="00A42646" w:rsidP="005B2D1F">
      <w:pPr>
        <w:spacing w:line="259" w:lineRule="auto"/>
        <w:rPr>
          <w:lang w:eastAsia="en-SG"/>
        </w:rPr>
      </w:pPr>
      <w:r w:rsidRPr="00A42646">
        <w:rPr>
          <w:lang w:eastAsia="en-SG"/>
        </w:rPr>
        <w:t xml:space="preserve">Internationally, Singapore is committed to our efforts in building international partnerships to prevent trafficking and enhance victim protection and care. </w:t>
      </w:r>
    </w:p>
    <w:p w14:paraId="647B5E0E" w14:textId="182218C2" w:rsidR="00A42646" w:rsidRPr="00A42646" w:rsidRDefault="00A42646" w:rsidP="005B2D1F">
      <w:pPr>
        <w:spacing w:line="259" w:lineRule="auto"/>
        <w:jc w:val="both"/>
        <w:rPr>
          <w:lang w:eastAsia="en-SG"/>
        </w:rPr>
      </w:pPr>
      <w:r w:rsidRPr="00DB2422">
        <w:rPr>
          <w:lang w:eastAsia="en-SG"/>
        </w:rPr>
        <w:t>We remain an active and contributing member of the international community by sharing best practices and raising awareness on TIP through participation in various regional and international platforms such as the ASEAN Senior Officials Meeting on Transnational Crime (SOMTC), ASEAN Heads of Specialist Anti-Trafficking Units, INTERPOL Human Trafficking Expert Group (HTEG) and INTERPOL Specialised Operational Network (ISON), Bali Process, and UNODC Working Group on TIP.</w:t>
      </w:r>
    </w:p>
    <w:p w14:paraId="6BD43D6A" w14:textId="77777777" w:rsidR="00A42646" w:rsidRPr="00DB2422" w:rsidRDefault="00A42646" w:rsidP="005B2D1F">
      <w:pPr>
        <w:spacing w:line="259" w:lineRule="auto"/>
        <w:jc w:val="both"/>
        <w:rPr>
          <w:lang w:eastAsia="en-SG"/>
        </w:rPr>
      </w:pPr>
      <w:r w:rsidRPr="00DB2422">
        <w:rPr>
          <w:lang w:eastAsia="en-SG"/>
        </w:rPr>
        <w:t>Under our mutual legal assistance (MLA) framework, Singapore is able to provide and seek MLA, to and from foreign jurisdictions for a wide range of offences, including TIP offences, on the basis of reciprocity.</w:t>
      </w:r>
    </w:p>
    <w:p w14:paraId="4234B49F" w14:textId="77777777" w:rsidR="00707894" w:rsidRPr="00A42646" w:rsidRDefault="00707894" w:rsidP="005B2D1F">
      <w:pPr>
        <w:pStyle w:val="ListParagraph"/>
        <w:spacing w:line="259" w:lineRule="auto"/>
        <w:jc w:val="both"/>
        <w:rPr>
          <w:lang w:eastAsia="en-SG"/>
        </w:rPr>
      </w:pPr>
    </w:p>
    <w:p w14:paraId="483FA1AF" w14:textId="415B9B12" w:rsidR="004F6A09" w:rsidRPr="00707894" w:rsidRDefault="00684FEE" w:rsidP="009B3883">
      <w:pPr>
        <w:pStyle w:val="Heading3"/>
        <w:rPr>
          <w:b/>
          <w:bCs/>
          <w:u w:val="single"/>
        </w:rPr>
      </w:pPr>
      <w:bookmarkStart w:id="34" w:name="_Toc169709895"/>
      <w:r>
        <w:rPr>
          <w:b/>
          <w:bCs/>
        </w:rPr>
        <w:t>C.</w:t>
      </w:r>
      <w:r>
        <w:rPr>
          <w:b/>
          <w:bCs/>
        </w:rPr>
        <w:tab/>
      </w:r>
      <w:r w:rsidR="004F6A09" w:rsidRPr="00684FEE">
        <w:rPr>
          <w:b/>
          <w:bCs/>
          <w:u w:val="single"/>
        </w:rPr>
        <w:t xml:space="preserve">Rights of the </w:t>
      </w:r>
      <w:r w:rsidR="003242C5">
        <w:rPr>
          <w:b/>
          <w:bCs/>
          <w:u w:val="single"/>
        </w:rPr>
        <w:t>G</w:t>
      </w:r>
      <w:r w:rsidR="004F6A09" w:rsidRPr="00684FEE">
        <w:rPr>
          <w:b/>
          <w:bCs/>
          <w:u w:val="single"/>
        </w:rPr>
        <w:t xml:space="preserve">irl </w:t>
      </w:r>
      <w:r w:rsidR="003242C5">
        <w:rPr>
          <w:b/>
          <w:bCs/>
          <w:u w:val="single"/>
        </w:rPr>
        <w:t>C</w:t>
      </w:r>
      <w:r w:rsidR="004F6A09" w:rsidRPr="00684FEE">
        <w:rPr>
          <w:b/>
          <w:bCs/>
          <w:u w:val="single"/>
        </w:rPr>
        <w:t>hild</w:t>
      </w:r>
      <w:bookmarkEnd w:id="34"/>
    </w:p>
    <w:p w14:paraId="49DF0CCB" w14:textId="383EAA75" w:rsidR="002E4DCA" w:rsidRDefault="002E4DCA" w:rsidP="002E4DCA">
      <w:pPr>
        <w:pStyle w:val="ListParagraph"/>
        <w:ind w:left="0"/>
      </w:pPr>
    </w:p>
    <w:p w14:paraId="481B15FA" w14:textId="0B64D86F" w:rsidR="00765417" w:rsidRDefault="003E6622" w:rsidP="000C67F5">
      <w:pPr>
        <w:pStyle w:val="ListParagraph"/>
        <w:tabs>
          <w:tab w:val="left" w:pos="1414"/>
        </w:tabs>
        <w:spacing w:before="120" w:after="120"/>
        <w:ind w:left="0"/>
        <w:contextualSpacing w:val="0"/>
        <w:jc w:val="both"/>
        <w:rPr>
          <w:rFonts w:cs="Arial"/>
          <w:lang w:eastAsia="en-SG"/>
        </w:rPr>
      </w:pPr>
      <w:r>
        <w:t>Singapore has legislative safeguards in place</w:t>
      </w:r>
      <w:r w:rsidR="00765417">
        <w:t xml:space="preserve"> to protect and ensure access to justice for those who are particularly vulnerable, including children. </w:t>
      </w:r>
      <w:r w:rsidR="00765417" w:rsidRPr="00765417">
        <w:rPr>
          <w:rFonts w:cs="Arial"/>
          <w:lang w:eastAsia="en-SG"/>
        </w:rPr>
        <w:t>The Children and Young Persons Act provides for the welfare, protection and rehabilitation of children and young persons.</w:t>
      </w:r>
      <w:r w:rsidR="00765417" w:rsidRPr="4096F4B2">
        <w:rPr>
          <w:rFonts w:cs="Arial"/>
          <w:lang w:eastAsia="en-SG"/>
        </w:rPr>
        <w:t xml:space="preserve"> </w:t>
      </w:r>
    </w:p>
    <w:p w14:paraId="1F70C02B" w14:textId="5C1ADB5C" w:rsidR="005127FB" w:rsidRPr="00684FEE" w:rsidRDefault="005127FB" w:rsidP="0045392A">
      <w:pPr>
        <w:pStyle w:val="ListParagraph"/>
        <w:numPr>
          <w:ilvl w:val="0"/>
          <w:numId w:val="33"/>
        </w:numPr>
        <w:jc w:val="both"/>
        <w:rPr>
          <w:b/>
          <w:bCs/>
        </w:rPr>
      </w:pPr>
      <w:r w:rsidRPr="00684FEE">
        <w:rPr>
          <w:b/>
          <w:bCs/>
        </w:rPr>
        <w:lastRenderedPageBreak/>
        <w:t>Promoting awareness and participation in social, economic, and political life</w:t>
      </w:r>
    </w:p>
    <w:p w14:paraId="4637C642" w14:textId="19271563" w:rsidR="004C594F" w:rsidRDefault="004C594F" w:rsidP="000C67F5">
      <w:pPr>
        <w:jc w:val="both"/>
        <w:rPr>
          <w:rFonts w:cs="Arial"/>
        </w:rPr>
      </w:pPr>
      <w:r w:rsidRPr="004C594F">
        <w:rPr>
          <w:rFonts w:cs="Arial"/>
        </w:rPr>
        <w:t xml:space="preserve">In </w:t>
      </w:r>
      <w:r>
        <w:rPr>
          <w:rFonts w:cs="Arial"/>
        </w:rPr>
        <w:t>the</w:t>
      </w:r>
      <w:r w:rsidRPr="004C594F">
        <w:rPr>
          <w:rFonts w:cs="Arial"/>
        </w:rPr>
        <w:t xml:space="preserve"> national curriculum, students are exposed to a healthy representation of both women and men in all levels of schooling. The experiences, contributions, and achievements of women are highlighted alongside that of their male counterparts. Students </w:t>
      </w:r>
      <w:r>
        <w:rPr>
          <w:rFonts w:cs="Arial"/>
        </w:rPr>
        <w:t xml:space="preserve">also </w:t>
      </w:r>
      <w:r w:rsidRPr="004C594F">
        <w:rPr>
          <w:rFonts w:cs="Arial"/>
        </w:rPr>
        <w:t>have opportunities to discuss issues related to women’s development, particularly in the languages and humanities subjects.</w:t>
      </w:r>
      <w:r w:rsidR="00EC582A">
        <w:rPr>
          <w:rFonts w:cs="Arial"/>
        </w:rPr>
        <w:t xml:space="preserve"> </w:t>
      </w:r>
    </w:p>
    <w:p w14:paraId="1C4B3A5B" w14:textId="5A83891D" w:rsidR="006044F5" w:rsidRPr="00635B63" w:rsidRDefault="00EB1B88" w:rsidP="0045392A">
      <w:pPr>
        <w:pStyle w:val="ListParagraph"/>
        <w:numPr>
          <w:ilvl w:val="0"/>
          <w:numId w:val="33"/>
        </w:numPr>
        <w:tabs>
          <w:tab w:val="left" w:pos="1414"/>
        </w:tabs>
        <w:spacing w:before="120" w:after="120"/>
        <w:contextualSpacing w:val="0"/>
        <w:rPr>
          <w:rFonts w:cs="Arial"/>
          <w:b/>
          <w:bCs/>
          <w:lang w:eastAsia="en-SG"/>
        </w:rPr>
      </w:pPr>
      <w:r w:rsidRPr="00635B63">
        <w:rPr>
          <w:rFonts w:cs="Arial"/>
          <w:b/>
          <w:bCs/>
          <w:lang w:eastAsia="en-SG"/>
        </w:rPr>
        <w:t>Measures to combat gender discrimination</w:t>
      </w:r>
    </w:p>
    <w:p w14:paraId="358E4ABF" w14:textId="0460FF64" w:rsidR="00C97B73" w:rsidRPr="000013D0" w:rsidRDefault="00EB1B88" w:rsidP="000013D0">
      <w:pPr>
        <w:pStyle w:val="Default"/>
        <w:jc w:val="both"/>
        <w:rPr>
          <w:rFonts w:asciiTheme="minorHAnsi" w:hAnsiTheme="minorHAnsi" w:cstheme="minorBidi"/>
          <w:sz w:val="22"/>
          <w:szCs w:val="22"/>
        </w:rPr>
      </w:pPr>
      <w:r w:rsidRPr="2D1E2B81">
        <w:rPr>
          <w:rFonts w:asciiTheme="minorHAnsi" w:hAnsiTheme="minorHAnsi" w:cstheme="minorBidi"/>
          <w:sz w:val="22"/>
          <w:szCs w:val="22"/>
        </w:rPr>
        <w:t xml:space="preserve">The Government continues to address and eliminate gender stereotypes in education and mass media. </w:t>
      </w:r>
    </w:p>
    <w:p w14:paraId="355805B4" w14:textId="0A7E5AF1" w:rsidR="00C97B73" w:rsidRDefault="00E27544" w:rsidP="000C67F5">
      <w:pPr>
        <w:pStyle w:val="ListParagraph"/>
        <w:tabs>
          <w:tab w:val="left" w:pos="1414"/>
        </w:tabs>
        <w:spacing w:before="120" w:after="120"/>
        <w:ind w:left="0"/>
        <w:jc w:val="both"/>
      </w:pPr>
      <w:r w:rsidRPr="005C2081">
        <w:rPr>
          <w:rFonts w:cs="Arial"/>
        </w:rPr>
        <w:t>Singapore takes a holistic and age-appropriate approach to promote gender equality and counter gender stereotypes across the education system</w:t>
      </w:r>
      <w:r>
        <w:t xml:space="preserve">. </w:t>
      </w:r>
      <w:r w:rsidR="00C97B73">
        <w:t>T</w:t>
      </w:r>
      <w:r w:rsidR="00C97B73" w:rsidRPr="00C97B73">
        <w:t>he Character and Citizenship Education has been enhanced to address mental models and stereotypes more directly, especially those that impact women in their career choices and familial roles.</w:t>
      </w:r>
    </w:p>
    <w:p w14:paraId="15F0BA8D" w14:textId="28A93614" w:rsidR="004A6F71" w:rsidRDefault="00230945" w:rsidP="000013D0">
      <w:pPr>
        <w:jc w:val="both"/>
      </w:pPr>
      <w:r>
        <w:rPr>
          <w:lang w:val="en-GB"/>
        </w:rPr>
        <w:t>St</w:t>
      </w:r>
      <w:proofErr w:type="spellStart"/>
      <w:r w:rsidRPr="005C2081">
        <w:t>udents</w:t>
      </w:r>
      <w:proofErr w:type="spellEnd"/>
      <w:r w:rsidRPr="005C2081">
        <w:t xml:space="preserve"> are exposed to a healthy representation of both women and men </w:t>
      </w:r>
      <w:r>
        <w:t>at</w:t>
      </w:r>
      <w:r w:rsidRPr="005C2081">
        <w:t xml:space="preserve"> all levels of schooling. The experiences, contributions, and achievements of women are highlighted alongside that of their male counterparts. Students have opportunities to discuss issues related to women’s development, particularly in the languages and humanities subjects.</w:t>
      </w:r>
    </w:p>
    <w:p w14:paraId="70F731D8" w14:textId="7CEA4C86" w:rsidR="004A6F71" w:rsidRDefault="004A6F71" w:rsidP="000C67F5">
      <w:pPr>
        <w:pStyle w:val="ListParagraph"/>
        <w:tabs>
          <w:tab w:val="left" w:pos="1414"/>
        </w:tabs>
        <w:spacing w:before="120" w:after="120"/>
        <w:ind w:left="0"/>
        <w:jc w:val="both"/>
      </w:pPr>
      <w:r w:rsidRPr="004A6F71">
        <w:t xml:space="preserve">MCI and </w:t>
      </w:r>
      <w:r>
        <w:t>IMDA</w:t>
      </w:r>
      <w:r w:rsidRPr="004A6F71">
        <w:t xml:space="preserve"> regulate media content to protect younger audiences from age-inappropriate content, and at the same time enable mature audiences to make informed choices over a diverse range of content. </w:t>
      </w:r>
      <w:r w:rsidR="00885837">
        <w:t>Advisory</w:t>
      </w:r>
      <w:r w:rsidRPr="004A6F71">
        <w:t xml:space="preserve"> committees, made up of members of the public from all walks of life,</w:t>
      </w:r>
      <w:r w:rsidR="00885837">
        <w:t xml:space="preserve"> are regularly consulted</w:t>
      </w:r>
      <w:r w:rsidRPr="004A6F71">
        <w:t xml:space="preserve"> on specific titles as well as content guidelines and regulations.</w:t>
      </w:r>
    </w:p>
    <w:p w14:paraId="02E19077" w14:textId="5BBC9CC1" w:rsidR="00582F6D" w:rsidRDefault="00582F6D" w:rsidP="000C67F5">
      <w:pPr>
        <w:pStyle w:val="ListParagraph"/>
        <w:tabs>
          <w:tab w:val="left" w:pos="1414"/>
        </w:tabs>
        <w:spacing w:before="120" w:after="120"/>
        <w:ind w:left="0"/>
        <w:jc w:val="both"/>
      </w:pPr>
    </w:p>
    <w:p w14:paraId="067A9174" w14:textId="44184743" w:rsidR="003E6622" w:rsidRPr="00635B63" w:rsidRDefault="00A46886" w:rsidP="0045392A">
      <w:pPr>
        <w:pStyle w:val="ListParagraph"/>
        <w:numPr>
          <w:ilvl w:val="0"/>
          <w:numId w:val="33"/>
        </w:numPr>
        <w:jc w:val="both"/>
        <w:rPr>
          <w:b/>
          <w:bCs/>
        </w:rPr>
      </w:pPr>
      <w:r w:rsidRPr="00635B63">
        <w:rPr>
          <w:b/>
          <w:bCs/>
        </w:rPr>
        <w:t>Access to education, skills development, and training</w:t>
      </w:r>
    </w:p>
    <w:p w14:paraId="16009734" w14:textId="20ABCB78" w:rsidR="00A46886" w:rsidRPr="00D730D5" w:rsidRDefault="001A51B5" w:rsidP="00D730D5">
      <w:pPr>
        <w:spacing w:line="259" w:lineRule="auto"/>
        <w:jc w:val="both"/>
        <w:rPr>
          <w:rFonts w:cs="Arial"/>
        </w:rPr>
      </w:pPr>
      <w:r w:rsidRPr="069981A9">
        <w:rPr>
          <w:rFonts w:cs="Arial"/>
        </w:rPr>
        <w:t xml:space="preserve">Singapore’s educational policy is inclusive and supports the education of children with disabilities as well as other developmental and learning needs. MOE works closely with SG Enable and the Special Education (SPED) sector to ensure that SPED schools are adequately resourced to support students with higher support needs. The majority of children with disabilities and special educational needs are enrolled in mainstream schools and around 20% of them are enrolled in </w:t>
      </w:r>
      <w:r w:rsidR="005E6D7B">
        <w:rPr>
          <w:rFonts w:cs="Arial"/>
        </w:rPr>
        <w:t>G</w:t>
      </w:r>
      <w:r w:rsidRPr="069981A9">
        <w:rPr>
          <w:rFonts w:cs="Arial"/>
        </w:rPr>
        <w:t xml:space="preserve">overnment and community-funded SPED schools.  As part of Singapore’s ongoing efforts towards building a more inclusive society, Singapore’s Compulsory Education framework has included children with </w:t>
      </w:r>
      <w:r w:rsidR="00F80D98">
        <w:rPr>
          <w:rFonts w:cs="Arial"/>
        </w:rPr>
        <w:t xml:space="preserve">moderate to severe </w:t>
      </w:r>
      <w:r w:rsidRPr="069981A9">
        <w:rPr>
          <w:rFonts w:cs="Arial"/>
        </w:rPr>
        <w:t xml:space="preserve">disabilities since 2019.  </w:t>
      </w:r>
    </w:p>
    <w:p w14:paraId="660DA91B" w14:textId="211296B9" w:rsidR="000746D6" w:rsidRPr="00635B63" w:rsidRDefault="001F60C2" w:rsidP="0045392A">
      <w:pPr>
        <w:pStyle w:val="ListParagraph"/>
        <w:numPr>
          <w:ilvl w:val="0"/>
          <w:numId w:val="33"/>
        </w:numPr>
        <w:rPr>
          <w:b/>
          <w:bCs/>
        </w:rPr>
      </w:pPr>
      <w:r w:rsidRPr="00635B63">
        <w:rPr>
          <w:b/>
          <w:bCs/>
        </w:rPr>
        <w:t xml:space="preserve">Access to healthcare </w:t>
      </w:r>
    </w:p>
    <w:p w14:paraId="76711E9E" w14:textId="77777777" w:rsidR="0091272D" w:rsidRDefault="0091272D" w:rsidP="002E4DCA">
      <w:pPr>
        <w:pStyle w:val="ListParagraph"/>
        <w:ind w:left="0"/>
      </w:pPr>
    </w:p>
    <w:p w14:paraId="32FBCD78" w14:textId="651C59B2" w:rsidR="001F60C2" w:rsidRDefault="00C93D3B" w:rsidP="005B2D1F">
      <w:pPr>
        <w:pStyle w:val="ListParagraph"/>
        <w:ind w:left="0"/>
        <w:jc w:val="both"/>
      </w:pPr>
      <w:r>
        <w:rPr>
          <w:rFonts w:cs="Arial"/>
          <w:lang w:eastAsia="en-SG"/>
        </w:rPr>
        <w:t>M</w:t>
      </w:r>
      <w:r w:rsidRPr="005A65DF">
        <w:rPr>
          <w:rFonts w:cs="Arial"/>
          <w:lang w:eastAsia="en-SG"/>
        </w:rPr>
        <w:t xml:space="preserve">ental Health Education is offered in our schools and </w:t>
      </w:r>
      <w:r>
        <w:rPr>
          <w:rFonts w:cs="Arial"/>
          <w:lang w:eastAsia="en-SG"/>
        </w:rPr>
        <w:t>IHLs.</w:t>
      </w:r>
      <w:r w:rsidRPr="005A65DF">
        <w:rPr>
          <w:rFonts w:cs="Arial"/>
          <w:lang w:eastAsia="en-SG"/>
        </w:rPr>
        <w:t xml:space="preserve"> </w:t>
      </w:r>
      <w:r>
        <w:rPr>
          <w:rFonts w:cs="Arial"/>
          <w:lang w:eastAsia="en-SG"/>
        </w:rPr>
        <w:t>L</w:t>
      </w:r>
      <w:r w:rsidRPr="005A65DF">
        <w:rPr>
          <w:rFonts w:cs="Arial"/>
          <w:lang w:eastAsia="en-SG"/>
        </w:rPr>
        <w:t>essons and outreach efforts help to raise awareness on mental health. Students are equipped with knowledge and skills to regulate emotions, manage expectations and these are reinforced in activities beyond the classroom.</w:t>
      </w:r>
      <w:r>
        <w:rPr>
          <w:rFonts w:cs="Arial"/>
          <w:lang w:eastAsia="en-SG"/>
        </w:rPr>
        <w:t xml:space="preserve"> </w:t>
      </w:r>
      <w:r>
        <w:rPr>
          <w:lang w:eastAsia="en-SG"/>
        </w:rPr>
        <w:t>Peer support structures in all schools</w:t>
      </w:r>
      <w:r>
        <w:t xml:space="preserve"> and IHLs</w:t>
      </w:r>
      <w:r>
        <w:rPr>
          <w:lang w:eastAsia="en-SG"/>
        </w:rPr>
        <w:t xml:space="preserve"> </w:t>
      </w:r>
      <w:r w:rsidRPr="004B6784">
        <w:rPr>
          <w:lang w:eastAsia="en-SG"/>
        </w:rPr>
        <w:t>facilitate help-seeking among peers and from trusted adults</w:t>
      </w:r>
      <w:r>
        <w:rPr>
          <w:lang w:eastAsia="en-SG"/>
        </w:rPr>
        <w:t>. They</w:t>
      </w:r>
      <w:r>
        <w:t xml:space="preserve"> </w:t>
      </w:r>
      <w:r>
        <w:rPr>
          <w:lang w:eastAsia="en-SG"/>
        </w:rPr>
        <w:t>have dedicated time and space for educators trained in mental health literacy to check-in and monitor students’ well-being. Students who require additional support will be referred to counsellors, mental health professionals or community resources</w:t>
      </w:r>
      <w:r w:rsidR="00EA2833">
        <w:rPr>
          <w:lang w:eastAsia="en-SG"/>
        </w:rPr>
        <w:t>.</w:t>
      </w:r>
    </w:p>
    <w:p w14:paraId="749F7BFF" w14:textId="77777777" w:rsidR="00C93D3B" w:rsidRDefault="00C93D3B" w:rsidP="005B2D1F">
      <w:pPr>
        <w:pStyle w:val="ListParagraph"/>
        <w:ind w:left="0"/>
        <w:jc w:val="both"/>
      </w:pPr>
    </w:p>
    <w:p w14:paraId="63AB5946" w14:textId="5FDF9C79" w:rsidR="001F60C2" w:rsidRPr="00635B63" w:rsidRDefault="008E3803" w:rsidP="0045392A">
      <w:pPr>
        <w:pStyle w:val="ListParagraph"/>
        <w:numPr>
          <w:ilvl w:val="0"/>
          <w:numId w:val="33"/>
        </w:numPr>
        <w:rPr>
          <w:b/>
          <w:bCs/>
        </w:rPr>
      </w:pPr>
      <w:r w:rsidRPr="00635B63">
        <w:rPr>
          <w:b/>
          <w:bCs/>
        </w:rPr>
        <w:t>Eliminating violence</w:t>
      </w:r>
      <w:r w:rsidR="00122E70">
        <w:rPr>
          <w:b/>
          <w:bCs/>
        </w:rPr>
        <w:t xml:space="preserve"> for girls</w:t>
      </w:r>
      <w:r w:rsidR="008C5F98" w:rsidRPr="00635B63">
        <w:rPr>
          <w:b/>
          <w:bCs/>
        </w:rPr>
        <w:t xml:space="preserve"> </w:t>
      </w:r>
    </w:p>
    <w:p w14:paraId="547D6BD8" w14:textId="6B989C7E" w:rsidR="00720365" w:rsidRDefault="00F51725" w:rsidP="009E68B3">
      <w:pPr>
        <w:jc w:val="both"/>
      </w:pPr>
      <w:r>
        <w:lastRenderedPageBreak/>
        <w:t xml:space="preserve">The Children and Young Persons Act provides for the welfare, care, protection and rehabilitation of children and young </w:t>
      </w:r>
      <w:r w:rsidRPr="003A022F">
        <w:t>persons</w:t>
      </w:r>
      <w:r w:rsidR="00905333" w:rsidRPr="003A022F">
        <w:t xml:space="preserve"> under 18 years of age</w:t>
      </w:r>
      <w:r w:rsidRPr="003A022F">
        <w:t>.</w:t>
      </w:r>
      <w:r w:rsidR="005C0196" w:rsidRPr="003A022F">
        <w:t xml:space="preserve"> </w:t>
      </w:r>
      <w:r w:rsidRPr="003A022F">
        <w:t>Ill</w:t>
      </w:r>
      <w:r>
        <w:t>-treatment of child or young person is an offence punishable</w:t>
      </w:r>
      <w:r w:rsidR="00F570E8">
        <w:t xml:space="preserve">, </w:t>
      </w:r>
      <w:r>
        <w:t>(</w:t>
      </w:r>
      <w:proofErr w:type="spellStart"/>
      <w:r>
        <w:t>i</w:t>
      </w:r>
      <w:proofErr w:type="spellEnd"/>
      <w:r>
        <w:t>) in the case where death is caused to the child or young person, by a fine not exceeding SGD $40,000 or to imprisonment for a term not exceeding 14 years or both; (ii) in any other case, by a fine not exceeding SGD $8,000 or to imprisonment for a term not exceeding 8 years or both.</w:t>
      </w:r>
    </w:p>
    <w:p w14:paraId="0200AD58" w14:textId="5BA7EEB5" w:rsidR="002C470A" w:rsidRPr="002C470A" w:rsidRDefault="002C470A" w:rsidP="009E68B3">
      <w:pPr>
        <w:jc w:val="both"/>
      </w:pPr>
      <w:r w:rsidRPr="002C470A">
        <w:t xml:space="preserve">Under the Penal Code (PC), for the offences of sexual penetration of a minor (s376A PC), sexual grooming of a minor (s376E PC), sexual communication with a minor (s376EB PC), sexual activity or image in presence of a minor (s376ED PC), and involving a child in the production of child abuse material (s377BG PC), if the victim is under the age of 16, the perpetrator is liable for the offence regardless of whether the victim consented to the act. </w:t>
      </w:r>
    </w:p>
    <w:p w14:paraId="713BAA4B" w14:textId="78C9728A" w:rsidR="002C470A" w:rsidRPr="002C470A" w:rsidRDefault="002C470A" w:rsidP="009E68B3">
      <w:pPr>
        <w:jc w:val="both"/>
      </w:pPr>
      <w:r w:rsidRPr="002C470A">
        <w:t>While the age of consent is 16, to protect minors above the age of 16 but under the age of 18, sexual offences covering minors below the age of 16 were extended to cover minors between 16 and 18 years of age where the perpetrator was in an exploitative relationship with the minor (s376AA, s376EA, s376EC, s376EE, s377BL PC). If the perpetrator was in an exploitative relationship with the minor, the perpetrator is liable for the offence regardless of whether the victim consented to the act.</w:t>
      </w:r>
    </w:p>
    <w:p w14:paraId="5E4B616C" w14:textId="1F4A1F98" w:rsidR="000013D0" w:rsidRDefault="002C470A" w:rsidP="009E68B3">
      <w:pPr>
        <w:jc w:val="both"/>
      </w:pPr>
      <w:r w:rsidRPr="002C470A">
        <w:t>In addition, if a person engages in commercial sex with a minor below 18 years</w:t>
      </w:r>
      <w:r w:rsidR="00CB3CB0">
        <w:t xml:space="preserve"> of age</w:t>
      </w:r>
      <w:r w:rsidRPr="002C470A">
        <w:t xml:space="preserve"> (s376B PC), the person is also liable regardless of whether the victim consented.</w:t>
      </w:r>
      <w:r w:rsidR="006715EF">
        <w:t xml:space="preserve"> </w:t>
      </w:r>
    </w:p>
    <w:p w14:paraId="10EA7900" w14:textId="0F3AA83A" w:rsidR="006B4930" w:rsidRPr="00A36303" w:rsidRDefault="00651B25" w:rsidP="0045392A">
      <w:pPr>
        <w:pStyle w:val="ListParagraph"/>
        <w:numPr>
          <w:ilvl w:val="0"/>
          <w:numId w:val="33"/>
        </w:numPr>
        <w:rPr>
          <w:b/>
          <w:bCs/>
        </w:rPr>
      </w:pPr>
      <w:r w:rsidRPr="0071754D">
        <w:rPr>
          <w:b/>
          <w:bCs/>
        </w:rPr>
        <w:t>Policies e</w:t>
      </w:r>
      <w:r w:rsidR="006B4930" w:rsidRPr="0071754D">
        <w:rPr>
          <w:b/>
          <w:bCs/>
        </w:rPr>
        <w:t>radicating child labour</w:t>
      </w:r>
      <w:r w:rsidR="00083AB1" w:rsidRPr="00A36303">
        <w:rPr>
          <w:b/>
          <w:bCs/>
        </w:rPr>
        <w:t xml:space="preserve"> </w:t>
      </w:r>
    </w:p>
    <w:p w14:paraId="283E2325" w14:textId="3CA77A11" w:rsidR="006B4930" w:rsidRDefault="005B6202" w:rsidP="005B2D1F">
      <w:pPr>
        <w:jc w:val="both"/>
      </w:pPr>
      <w:r w:rsidRPr="005B6202">
        <w:t>Children and young persons are restricted in the type of work they can do.</w:t>
      </w:r>
      <w:r w:rsidR="006F2221">
        <w:t xml:space="preserve"> </w:t>
      </w:r>
      <w:r w:rsidR="006F2221" w:rsidRPr="006F2221">
        <w:t>The type of work children and young persons can do is governed by Part VIII of the Employment Act and the Employment of Children and Young Persons Regulations.</w:t>
      </w:r>
    </w:p>
    <w:p w14:paraId="45567C7B" w14:textId="3A8E1807" w:rsidR="00E57482" w:rsidRDefault="00A455A5" w:rsidP="00D730D5">
      <w:pPr>
        <w:jc w:val="both"/>
        <w:rPr>
          <w:rFonts w:cstheme="minorHAnsi"/>
          <w:color w:val="0C0D0D"/>
        </w:rPr>
      </w:pPr>
      <w:r w:rsidRPr="00A455A5">
        <w:rPr>
          <w:rFonts w:cstheme="minorHAnsi"/>
        </w:rPr>
        <w:t xml:space="preserve">It is permissible to employ children and young persons aged 13 years to 16 years, but there are restrictions </w:t>
      </w:r>
      <w:r w:rsidRPr="00A455A5">
        <w:rPr>
          <w:rFonts w:cstheme="minorHAnsi"/>
          <w:color w:val="0C0D0D"/>
        </w:rPr>
        <w:t>in the type of work they can do</w:t>
      </w:r>
      <w:r w:rsidR="00A9037A">
        <w:rPr>
          <w:rFonts w:cstheme="minorHAnsi"/>
          <w:color w:val="0C0D0D"/>
        </w:rPr>
        <w:t>.</w:t>
      </w:r>
      <w:r w:rsidRPr="00A455A5">
        <w:rPr>
          <w:rFonts w:cstheme="minorHAnsi"/>
          <w:color w:val="0C0D0D"/>
        </w:rPr>
        <w:t xml:space="preserve"> </w:t>
      </w:r>
      <w:r w:rsidR="00A9037A">
        <w:rPr>
          <w:rFonts w:cstheme="minorHAnsi"/>
          <w:color w:val="0C0D0D"/>
        </w:rPr>
        <w:t>I</w:t>
      </w:r>
      <w:r w:rsidRPr="00A455A5">
        <w:rPr>
          <w:rFonts w:cstheme="minorHAnsi"/>
          <w:color w:val="0C0D0D"/>
        </w:rPr>
        <w:t>n industrial settings (e.g. construction, transportation and manufacturing)</w:t>
      </w:r>
      <w:r w:rsidR="00A9037A">
        <w:rPr>
          <w:rFonts w:cstheme="minorHAnsi"/>
          <w:color w:val="0C0D0D"/>
        </w:rPr>
        <w:t>,</w:t>
      </w:r>
      <w:r w:rsidR="00891C64">
        <w:rPr>
          <w:rFonts w:cstheme="minorHAnsi"/>
          <w:color w:val="0C0D0D"/>
        </w:rPr>
        <w:t xml:space="preserve"> </w:t>
      </w:r>
      <w:r w:rsidR="00E57482">
        <w:rPr>
          <w:rFonts w:cstheme="minorHAnsi"/>
          <w:color w:val="0C0D0D"/>
        </w:rPr>
        <w:t>children aged 13 to less than 15 years are not allowed unless working with family members.</w:t>
      </w:r>
      <w:r w:rsidR="0056157B">
        <w:rPr>
          <w:rFonts w:cstheme="minorHAnsi"/>
          <w:color w:val="0C0D0D"/>
        </w:rPr>
        <w:t xml:space="preserve"> For young persons</w:t>
      </w:r>
      <w:r w:rsidR="002333A4">
        <w:rPr>
          <w:rFonts w:cstheme="minorHAnsi"/>
          <w:color w:val="0C0D0D"/>
        </w:rPr>
        <w:t xml:space="preserve"> aged 15 to less than 15 years, employers must notify the Ministry of Manpower (MOM) and submit a medical report within 30 days of starting work. </w:t>
      </w:r>
    </w:p>
    <w:p w14:paraId="63850433" w14:textId="38C3CC42" w:rsidR="00527D72" w:rsidRPr="00A36303" w:rsidRDefault="00527D72" w:rsidP="0045392A">
      <w:pPr>
        <w:pStyle w:val="ListParagraph"/>
        <w:numPr>
          <w:ilvl w:val="0"/>
          <w:numId w:val="33"/>
        </w:numPr>
        <w:rPr>
          <w:b/>
          <w:bCs/>
        </w:rPr>
      </w:pPr>
      <w:r w:rsidRPr="00A36303">
        <w:rPr>
          <w:b/>
          <w:bCs/>
        </w:rPr>
        <w:t>Eradicating child, early, and forced marriage</w:t>
      </w:r>
      <w:r w:rsidR="002350DD" w:rsidRPr="00A36303">
        <w:rPr>
          <w:b/>
          <w:bCs/>
        </w:rPr>
        <w:t xml:space="preserve"> </w:t>
      </w:r>
    </w:p>
    <w:p w14:paraId="170D7582" w14:textId="3C1C044B" w:rsidR="00691B4D" w:rsidRDefault="00691B4D" w:rsidP="00673E80">
      <w:pPr>
        <w:jc w:val="both"/>
      </w:pPr>
      <w:r w:rsidRPr="00691B4D">
        <w:t xml:space="preserve">Under the Women’s Charter, </w:t>
      </w:r>
      <w:r w:rsidR="00255790">
        <w:t xml:space="preserve">civil </w:t>
      </w:r>
      <w:r w:rsidRPr="00691B4D">
        <w:t xml:space="preserve">marriages between persons either of whom is below 18 years of age are void. </w:t>
      </w:r>
    </w:p>
    <w:p w14:paraId="5403DD01" w14:textId="7C4FA8D9" w:rsidR="00691B4D" w:rsidRDefault="00691B4D" w:rsidP="00673E80">
      <w:pPr>
        <w:jc w:val="both"/>
      </w:pPr>
      <w:r w:rsidRPr="00691B4D">
        <w:t>The only exception to this provision is where the marriage is authorised by a Special Marriage Licence issued by the Minister. Such marriages authorised by Special Marriage Licence have been falling over the years. In the last two years, there were no such marriages. While MSF has no plans at present to remove the option of a Special Marriage Licence, we will continue to closely scrutinise any application and ensure that approval is given only in meritorious cases.</w:t>
      </w:r>
    </w:p>
    <w:p w14:paraId="734AAA7C" w14:textId="5DDF0DF7" w:rsidR="00527D72" w:rsidRPr="00A36303" w:rsidRDefault="008C423D" w:rsidP="0045392A">
      <w:pPr>
        <w:pStyle w:val="ListParagraph"/>
        <w:numPr>
          <w:ilvl w:val="0"/>
          <w:numId w:val="35"/>
        </w:numPr>
        <w:rPr>
          <w:i/>
          <w:iCs/>
        </w:rPr>
      </w:pPr>
      <w:r w:rsidRPr="00A36303">
        <w:rPr>
          <w:i/>
          <w:iCs/>
        </w:rPr>
        <w:t>Muslim law</w:t>
      </w:r>
    </w:p>
    <w:p w14:paraId="35447A37" w14:textId="009AD1D5" w:rsidR="008C423D" w:rsidRPr="008C423D" w:rsidRDefault="3C6551C4" w:rsidP="001B47D8">
      <w:pPr>
        <w:spacing w:after="0" w:line="257" w:lineRule="auto"/>
        <w:jc w:val="both"/>
        <w:rPr>
          <w:rFonts w:ascii="Calibri" w:eastAsia="Calibri" w:hAnsi="Calibri" w:cs="Calibri"/>
        </w:rPr>
      </w:pPr>
      <w:r w:rsidRPr="38FE4825">
        <w:rPr>
          <w:rFonts w:ascii="Calibri" w:eastAsia="Calibri" w:hAnsi="Calibri" w:cs="Calibri"/>
        </w:rPr>
        <w:t xml:space="preserve">Under the Administration of </w:t>
      </w:r>
      <w:r w:rsidR="00FF2449" w:rsidRPr="38FE4825">
        <w:rPr>
          <w:rFonts w:ascii="Calibri" w:eastAsia="Calibri" w:hAnsi="Calibri" w:cs="Calibri"/>
        </w:rPr>
        <w:t xml:space="preserve">Muslim </w:t>
      </w:r>
      <w:r w:rsidRPr="38FE4825">
        <w:rPr>
          <w:rFonts w:ascii="Calibri" w:eastAsia="Calibri" w:hAnsi="Calibri" w:cs="Calibri"/>
        </w:rPr>
        <w:t>Law Act, for Muslim marriages, the minimum legal age of marriage is 18 years for both boys and girls.</w:t>
      </w:r>
    </w:p>
    <w:p w14:paraId="58EC4830" w14:textId="75932D15" w:rsidR="008C423D" w:rsidRPr="008C423D" w:rsidRDefault="008C423D" w:rsidP="38FE4825">
      <w:pPr>
        <w:spacing w:after="0" w:line="257" w:lineRule="auto"/>
        <w:jc w:val="both"/>
        <w:rPr>
          <w:rFonts w:ascii="Calibri" w:eastAsia="Calibri" w:hAnsi="Calibri" w:cs="Calibri"/>
        </w:rPr>
      </w:pPr>
    </w:p>
    <w:p w14:paraId="29BE3EF9" w14:textId="7D07BBAB" w:rsidR="008C423D" w:rsidRPr="008C423D" w:rsidRDefault="009D3717" w:rsidP="005B2D1F">
      <w:pPr>
        <w:spacing w:line="257" w:lineRule="auto"/>
        <w:jc w:val="both"/>
      </w:pPr>
      <w:r>
        <w:rPr>
          <w:rFonts w:ascii="Calibri" w:eastAsia="Calibri" w:hAnsi="Calibri" w:cs="Calibri"/>
        </w:rPr>
        <w:lastRenderedPageBreak/>
        <w:t>T</w:t>
      </w:r>
      <w:r w:rsidR="3C6551C4" w:rsidRPr="38FE4825">
        <w:rPr>
          <w:rFonts w:ascii="Calibri" w:eastAsia="Calibri" w:hAnsi="Calibri" w:cs="Calibri"/>
        </w:rPr>
        <w:t xml:space="preserve">here is a legal exception for girls to marry at a younger age under special circumstances. </w:t>
      </w:r>
      <w:r w:rsidR="00FF2449" w:rsidRPr="38FE4825">
        <w:rPr>
          <w:rFonts w:eastAsia="Arial" w:cs="Arial"/>
        </w:rPr>
        <w:t xml:space="preserve">Muslim marriages involving minors under 18 years of age are only allowed (a) under exceptional circumstances with the approval of the Kadi, and (b) with the consent of the minor’s parents/legal guardian. </w:t>
      </w:r>
      <w:r w:rsidR="00FF2449" w:rsidRPr="02183835">
        <w:rPr>
          <w:rFonts w:eastAsia="Arial" w:cs="Arial"/>
        </w:rPr>
        <w:t>In practice, Muslim marriages involving at least one party aged below 18 years are rare and has declined from 0.2% in 2018 to 0.</w:t>
      </w:r>
      <w:r w:rsidR="00D84599">
        <w:rPr>
          <w:rFonts w:eastAsia="Arial" w:cs="Arial"/>
        </w:rPr>
        <w:t>1</w:t>
      </w:r>
      <w:r w:rsidR="00FF2449" w:rsidRPr="02183835">
        <w:rPr>
          <w:rFonts w:eastAsia="Arial" w:cs="Arial"/>
        </w:rPr>
        <w:t>% in 2022.</w:t>
      </w:r>
    </w:p>
    <w:p w14:paraId="29EBE313" w14:textId="77777777" w:rsidR="00C85F63" w:rsidRDefault="00C85F63" w:rsidP="005B2D1F">
      <w:pPr>
        <w:spacing w:line="257" w:lineRule="auto"/>
        <w:jc w:val="both"/>
        <w:rPr>
          <w:rFonts w:eastAsia="Arial" w:cs="Arial"/>
          <w:szCs w:val="24"/>
        </w:rPr>
      </w:pPr>
      <w:r w:rsidRPr="1EEE535D">
        <w:rPr>
          <w:rFonts w:eastAsia="Arial" w:cs="Arial"/>
          <w:szCs w:val="24"/>
        </w:rPr>
        <w:t>Robust safeguards are in place to ensure the long-term interest of the minor. For instance, marriage preparation programmes and parental/guardian consent are mandatory for couples where at least one party is between 18 and 20 years of age.</w:t>
      </w:r>
    </w:p>
    <w:p w14:paraId="59731296" w14:textId="5F439590" w:rsidR="00C85F63" w:rsidRDefault="00C85F63" w:rsidP="005B2D1F">
      <w:pPr>
        <w:spacing w:line="257" w:lineRule="auto"/>
        <w:jc w:val="both"/>
        <w:rPr>
          <w:rFonts w:eastAsia="Arial" w:cs="Arial"/>
          <w:szCs w:val="24"/>
        </w:rPr>
      </w:pPr>
      <w:r w:rsidRPr="1EEE535D">
        <w:rPr>
          <w:rFonts w:eastAsia="Arial" w:cs="Arial"/>
          <w:szCs w:val="24"/>
        </w:rPr>
        <w:t xml:space="preserve">The Government, in partnership with Malay/Muslim organisations, carries out public education and engagement initiatives to help couples fully understand the commitment of marriage, especially if couples are proposing to marry early. For example, </w:t>
      </w:r>
      <w:r w:rsidR="00A4401C">
        <w:rPr>
          <w:rFonts w:eastAsia="Arial" w:cs="Arial"/>
          <w:szCs w:val="24"/>
        </w:rPr>
        <w:t>the Registry of Muslim Marriages</w:t>
      </w:r>
      <w:r w:rsidRPr="1EEE535D">
        <w:rPr>
          <w:rFonts w:eastAsia="Arial" w:cs="Arial"/>
          <w:szCs w:val="24"/>
        </w:rPr>
        <w:t xml:space="preserve"> has introduced the mandatory </w:t>
      </w:r>
      <w:proofErr w:type="spellStart"/>
      <w:r w:rsidRPr="1EEE535D">
        <w:rPr>
          <w:rFonts w:eastAsia="Arial" w:cs="Arial"/>
          <w:szCs w:val="24"/>
        </w:rPr>
        <w:t>Bersamamu</w:t>
      </w:r>
      <w:proofErr w:type="spellEnd"/>
      <w:r w:rsidRPr="1EEE535D">
        <w:rPr>
          <w:rFonts w:eastAsia="Arial" w:cs="Arial"/>
          <w:szCs w:val="24"/>
        </w:rPr>
        <w:t xml:space="preserve"> (With You) programme since 2019 where the Kadi has a face-to-face session with the couple before solemnisation and continues to befriend the couple for up to two years after their solemnisation. With continued public education, we are confident that further progress can be made on this issue.</w:t>
      </w:r>
    </w:p>
    <w:p w14:paraId="2F4D41B1" w14:textId="77777777" w:rsidR="00A42D47" w:rsidRDefault="00A42D47" w:rsidP="00A42D47">
      <w:pPr>
        <w:pStyle w:val="ListParagraph"/>
        <w:ind w:left="360"/>
      </w:pPr>
    </w:p>
    <w:p w14:paraId="15EE7CDD" w14:textId="6E0C600E" w:rsidR="3842B804" w:rsidRPr="00487136" w:rsidRDefault="00DC0DA3" w:rsidP="003463F6">
      <w:pPr>
        <w:pStyle w:val="Heading2"/>
        <w:rPr>
          <w:b/>
          <w:bCs/>
          <w:sz w:val="28"/>
          <w:szCs w:val="28"/>
          <w:u w:val="single"/>
        </w:rPr>
      </w:pPr>
      <w:r w:rsidRPr="00973277">
        <w:rPr>
          <w:rStyle w:val="Heading2Char"/>
          <w:b/>
          <w:bCs/>
          <w:sz w:val="32"/>
          <w:szCs w:val="32"/>
          <w:u w:val="single"/>
        </w:rPr>
        <w:br w:type="page"/>
      </w:r>
      <w:bookmarkStart w:id="35" w:name="_Toc169709896"/>
      <w:r w:rsidR="3842B804" w:rsidRPr="00973277">
        <w:rPr>
          <w:rStyle w:val="Heading2Char"/>
          <w:b/>
          <w:bCs/>
          <w:sz w:val="32"/>
          <w:szCs w:val="32"/>
          <w:u w:val="single"/>
        </w:rPr>
        <w:lastRenderedPageBreak/>
        <w:t>Environmental conservation, protection, and rehabilitation</w:t>
      </w:r>
      <w:bookmarkEnd w:id="35"/>
      <w:r w:rsidR="3842B804" w:rsidRPr="00973277">
        <w:rPr>
          <w:rStyle w:val="Heading2Char"/>
          <w:b/>
          <w:bCs/>
          <w:sz w:val="32"/>
          <w:szCs w:val="32"/>
        </w:rPr>
        <w:t xml:space="preserve"> </w:t>
      </w:r>
      <w:r w:rsidR="3842B804" w:rsidRPr="00EA1097">
        <w:rPr>
          <w:rStyle w:val="Heading2Char"/>
          <w:b/>
          <w:bCs/>
        </w:rPr>
        <w:br/>
      </w:r>
    </w:p>
    <w:p w14:paraId="5D26CC66" w14:textId="3B4443BE" w:rsidR="2352DAB0" w:rsidRPr="005A4240" w:rsidRDefault="00973277" w:rsidP="005A4240">
      <w:pPr>
        <w:pStyle w:val="Heading3"/>
        <w:rPr>
          <w:b/>
          <w:bCs/>
        </w:rPr>
      </w:pPr>
      <w:bookmarkStart w:id="36" w:name="_Toc169709897"/>
      <w:r w:rsidRPr="001B47D8">
        <w:rPr>
          <w:b/>
          <w:bCs/>
        </w:rPr>
        <w:t>A.</w:t>
      </w:r>
      <w:r w:rsidRPr="001B47D8">
        <w:rPr>
          <w:b/>
          <w:bCs/>
        </w:rPr>
        <w:tab/>
      </w:r>
      <w:r w:rsidR="001770C5">
        <w:rPr>
          <w:b/>
          <w:bCs/>
          <w:u w:val="single"/>
        </w:rPr>
        <w:t>Integrating</w:t>
      </w:r>
      <w:r w:rsidR="00C41646" w:rsidRPr="001B47D8">
        <w:rPr>
          <w:b/>
          <w:bCs/>
          <w:u w:val="single"/>
        </w:rPr>
        <w:t xml:space="preserve"> </w:t>
      </w:r>
      <w:r w:rsidR="001770C5" w:rsidRPr="001B47D8">
        <w:rPr>
          <w:b/>
          <w:bCs/>
          <w:u w:val="single"/>
        </w:rPr>
        <w:t xml:space="preserve">Gender Perspectives </w:t>
      </w:r>
      <w:r w:rsidR="001770C5">
        <w:rPr>
          <w:b/>
          <w:bCs/>
          <w:u w:val="single"/>
        </w:rPr>
        <w:t>a</w:t>
      </w:r>
      <w:r w:rsidR="001770C5" w:rsidRPr="001B47D8">
        <w:rPr>
          <w:b/>
          <w:bCs/>
          <w:u w:val="single"/>
        </w:rPr>
        <w:t xml:space="preserve">nd Concerns </w:t>
      </w:r>
      <w:r w:rsidR="001770C5">
        <w:rPr>
          <w:b/>
          <w:bCs/>
          <w:u w:val="single"/>
        </w:rPr>
        <w:t>i</w:t>
      </w:r>
      <w:r w:rsidR="001770C5" w:rsidRPr="001B47D8">
        <w:rPr>
          <w:b/>
          <w:bCs/>
          <w:u w:val="single"/>
        </w:rPr>
        <w:t>nto Environmental Policies</w:t>
      </w:r>
      <w:bookmarkEnd w:id="36"/>
    </w:p>
    <w:p w14:paraId="418C3106" w14:textId="576770F0" w:rsidR="000579D4" w:rsidRDefault="005A4240" w:rsidP="000579D4">
      <w:r>
        <w:br/>
      </w:r>
      <w:r w:rsidR="00470927">
        <w:t xml:space="preserve">Singapore strongly supports the multilateral framework on climate change. </w:t>
      </w:r>
    </w:p>
    <w:p w14:paraId="6CA737BB" w14:textId="77777777" w:rsidR="0016270D" w:rsidRDefault="0016270D" w:rsidP="002503A5">
      <w:pPr>
        <w:spacing w:line="259" w:lineRule="auto"/>
        <w:jc w:val="both"/>
        <w:rPr>
          <w:lang w:eastAsia="en-SG"/>
        </w:rPr>
      </w:pPr>
      <w:r w:rsidRPr="00AD75C8">
        <w:rPr>
          <w:lang w:eastAsia="en-SG"/>
        </w:rPr>
        <w:t>Since the Paris Agreement was adopted, Singapore has submitted and enhanced our Nationally Determined Contributions (NDCs)</w:t>
      </w:r>
      <w:r>
        <w:rPr>
          <w:rStyle w:val="FootnoteReference"/>
          <w:lang w:eastAsia="en-SG"/>
        </w:rPr>
        <w:footnoteReference w:id="24"/>
      </w:r>
      <w:r w:rsidRPr="00AD75C8">
        <w:rPr>
          <w:lang w:eastAsia="en-SG"/>
        </w:rPr>
        <w:t xml:space="preserve"> and our long-term low-emission development strategy</w:t>
      </w:r>
      <w:r>
        <w:rPr>
          <w:lang w:eastAsia="en-SG"/>
        </w:rPr>
        <w:t>. We also</w:t>
      </w:r>
      <w:r w:rsidRPr="00AD75C8">
        <w:rPr>
          <w:lang w:eastAsia="en-SG"/>
        </w:rPr>
        <w:t xml:space="preserve"> launched the Singapore Green Plan 2030 (</w:t>
      </w:r>
      <w:r>
        <w:rPr>
          <w:lang w:eastAsia="en-SG"/>
        </w:rPr>
        <w:t>Green Plan</w:t>
      </w:r>
      <w:r w:rsidRPr="00AD75C8">
        <w:rPr>
          <w:lang w:eastAsia="en-SG"/>
        </w:rPr>
        <w:t>)</w:t>
      </w:r>
      <w:r>
        <w:rPr>
          <w:rStyle w:val="FootnoteReference"/>
          <w:lang w:eastAsia="en-SG"/>
        </w:rPr>
        <w:footnoteReference w:id="25"/>
      </w:r>
      <w:r>
        <w:rPr>
          <w:lang w:eastAsia="en-SG"/>
        </w:rPr>
        <w:t>,</w:t>
      </w:r>
      <w:r w:rsidRPr="00AD75C8">
        <w:rPr>
          <w:lang w:eastAsia="en-SG"/>
        </w:rPr>
        <w:t xml:space="preserve"> which charts ambitious and concrete targets over this decade, strengthening Singapore’s commitments under the UN 2030 Agenda </w:t>
      </w:r>
      <w:r>
        <w:rPr>
          <w:lang w:eastAsia="en-SG"/>
        </w:rPr>
        <w:t xml:space="preserve">for Sustainable Development </w:t>
      </w:r>
      <w:r w:rsidRPr="00AD75C8">
        <w:rPr>
          <w:lang w:eastAsia="en-SG"/>
        </w:rPr>
        <w:t>and Paris Agreement, positioning us to achieve our long-term net zero emissions aspiration by 2050.</w:t>
      </w:r>
    </w:p>
    <w:p w14:paraId="7CF912C4" w14:textId="16A740D3" w:rsidR="00197A1C" w:rsidRDefault="000579D4" w:rsidP="00197A1C">
      <w:pPr>
        <w:spacing w:line="259" w:lineRule="auto"/>
        <w:jc w:val="both"/>
        <w:rPr>
          <w:lang w:eastAsia="en-SG"/>
        </w:rPr>
      </w:pPr>
      <w:r>
        <w:t>S</w:t>
      </w:r>
      <w:r w:rsidRPr="000579D4">
        <w:t>takeholders, including women and girls,</w:t>
      </w:r>
      <w:r>
        <w:t xml:space="preserve"> have been widely consulted</w:t>
      </w:r>
      <w:r w:rsidRPr="000579D4">
        <w:t xml:space="preserve"> on the </w:t>
      </w:r>
      <w:r w:rsidR="00197A1C">
        <w:rPr>
          <w:lang w:eastAsia="en-SG"/>
        </w:rPr>
        <w:t xml:space="preserve">Green Plan </w:t>
      </w:r>
      <w:r w:rsidR="00197A1C" w:rsidRPr="5A3E1FF4">
        <w:rPr>
          <w:lang w:eastAsia="en-SG"/>
        </w:rPr>
        <w:t xml:space="preserve">and our climate goals. The policies under </w:t>
      </w:r>
      <w:r w:rsidR="00197A1C">
        <w:rPr>
          <w:lang w:eastAsia="en-SG"/>
        </w:rPr>
        <w:t>our Green Plan</w:t>
      </w:r>
      <w:r w:rsidR="00197A1C" w:rsidRPr="5A3E1FF4">
        <w:rPr>
          <w:lang w:eastAsia="en-SG"/>
        </w:rPr>
        <w:t xml:space="preserve">, notably those under the resilient future pillar, </w:t>
      </w:r>
      <w:r w:rsidR="00197A1C">
        <w:rPr>
          <w:lang w:eastAsia="en-SG"/>
        </w:rPr>
        <w:t xml:space="preserve">aim to build </w:t>
      </w:r>
      <w:r w:rsidR="00197A1C" w:rsidRPr="5A3E1FF4">
        <w:rPr>
          <w:lang w:eastAsia="en-SG"/>
        </w:rPr>
        <w:t xml:space="preserve">Singapore’s defence and resilience </w:t>
      </w:r>
      <w:r w:rsidR="00197A1C">
        <w:rPr>
          <w:lang w:eastAsia="en-SG"/>
        </w:rPr>
        <w:t xml:space="preserve">against climate change, </w:t>
      </w:r>
      <w:r w:rsidR="00197A1C" w:rsidRPr="5A3E1FF4">
        <w:rPr>
          <w:lang w:eastAsia="en-SG"/>
        </w:rPr>
        <w:t>to better safeguard the lives and livelihoods of all Singaporeans, including women and children</w:t>
      </w:r>
      <w:r w:rsidR="00197A1C">
        <w:rPr>
          <w:lang w:eastAsia="en-SG"/>
        </w:rPr>
        <w:t>.</w:t>
      </w:r>
      <w:r w:rsidR="00197A1C" w:rsidRPr="5A3E1FF4">
        <w:rPr>
          <w:lang w:eastAsia="en-SG"/>
        </w:rPr>
        <w:t xml:space="preserve"> </w:t>
      </w:r>
    </w:p>
    <w:p w14:paraId="07622A29" w14:textId="3DBCCD74" w:rsidR="007E79D9" w:rsidRDefault="001B6167" w:rsidP="00E01DA1">
      <w:pPr>
        <w:jc w:val="both"/>
      </w:pPr>
      <w:r>
        <w:t>While Singapore does</w:t>
      </w:r>
      <w:r w:rsidR="009A0E09" w:rsidRPr="009A0E09">
        <w:t xml:space="preserve"> not have specific climate change policies targeted at women, </w:t>
      </w:r>
      <w:r>
        <w:t xml:space="preserve">initiatives are in place </w:t>
      </w:r>
      <w:r w:rsidR="007F2C6C">
        <w:t>to</w:t>
      </w:r>
      <w:r>
        <w:t xml:space="preserve"> encourage</w:t>
      </w:r>
      <w:r w:rsidR="009A0E09" w:rsidRPr="009A0E09">
        <w:t xml:space="preserve"> more women to be involved in sustainability and taking the lead in the fight against climate change.</w:t>
      </w:r>
    </w:p>
    <w:p w14:paraId="3CA4C8BC" w14:textId="754C8D27" w:rsidR="007F1136" w:rsidRPr="007F1136" w:rsidRDefault="007F1136" w:rsidP="0045392A">
      <w:pPr>
        <w:pStyle w:val="Question"/>
        <w:numPr>
          <w:ilvl w:val="0"/>
          <w:numId w:val="2"/>
        </w:numPr>
        <w:rPr>
          <w:rFonts w:asciiTheme="minorHAnsi" w:hAnsiTheme="minorHAnsi" w:cstheme="minorHAnsi"/>
          <w:b w:val="0"/>
          <w:bCs w:val="0"/>
          <w:sz w:val="22"/>
          <w:szCs w:val="22"/>
          <w:lang w:val="en-US" w:eastAsia="en-US"/>
        </w:rPr>
      </w:pPr>
      <w:r w:rsidRPr="007F1136">
        <w:rPr>
          <w:rFonts w:asciiTheme="minorHAnsi" w:hAnsiTheme="minorHAnsi" w:cstheme="minorHAnsi"/>
          <w:b w:val="0"/>
          <w:bCs w:val="0"/>
          <w:sz w:val="22"/>
          <w:szCs w:val="22"/>
          <w:lang w:val="en-US" w:eastAsia="en-US"/>
        </w:rPr>
        <w:t xml:space="preserve">In 2021, a not-for-profit society, Women in Sustainability and Environment (WISE), was formed to advocate for women as consumers, </w:t>
      </w:r>
      <w:r w:rsidR="00930730" w:rsidRPr="007F1136">
        <w:rPr>
          <w:rFonts w:asciiTheme="minorHAnsi" w:hAnsiTheme="minorHAnsi" w:cstheme="minorHAnsi"/>
          <w:b w:val="0"/>
          <w:bCs w:val="0"/>
          <w:sz w:val="22"/>
          <w:szCs w:val="22"/>
          <w:lang w:val="en-US" w:eastAsia="en-US"/>
        </w:rPr>
        <w:t>investors,</w:t>
      </w:r>
      <w:r w:rsidRPr="007F1136">
        <w:rPr>
          <w:rFonts w:asciiTheme="minorHAnsi" w:hAnsiTheme="minorHAnsi" w:cstheme="minorHAnsi"/>
          <w:b w:val="0"/>
          <w:bCs w:val="0"/>
          <w:sz w:val="22"/>
          <w:szCs w:val="22"/>
          <w:lang w:val="en-US" w:eastAsia="en-US"/>
        </w:rPr>
        <w:t xml:space="preserve"> and professionals championing sustainability. </w:t>
      </w:r>
    </w:p>
    <w:p w14:paraId="18B59B8E" w14:textId="77777777" w:rsidR="007F1136" w:rsidRPr="007F1136" w:rsidRDefault="007F1136" w:rsidP="0045392A">
      <w:pPr>
        <w:pStyle w:val="Question"/>
        <w:numPr>
          <w:ilvl w:val="0"/>
          <w:numId w:val="2"/>
        </w:numPr>
        <w:rPr>
          <w:rFonts w:asciiTheme="minorHAnsi" w:hAnsiTheme="minorHAnsi" w:cstheme="minorHAnsi"/>
          <w:b w:val="0"/>
          <w:bCs w:val="0"/>
          <w:sz w:val="22"/>
          <w:szCs w:val="22"/>
          <w:lang w:val="en-US" w:eastAsia="en-US"/>
        </w:rPr>
      </w:pPr>
      <w:r w:rsidRPr="007F1136">
        <w:rPr>
          <w:rFonts w:asciiTheme="minorHAnsi" w:hAnsiTheme="minorHAnsi" w:cstheme="minorHAnsi"/>
          <w:b w:val="0"/>
          <w:bCs w:val="0"/>
          <w:sz w:val="22"/>
          <w:szCs w:val="22"/>
          <w:lang w:val="en-US" w:eastAsia="en-US"/>
        </w:rPr>
        <w:t xml:space="preserve">Many Singaporean women have also been stepping up to fight climate change. These include Minister for Sustainability and the Environment Grace Fu who facilitated the ministerial consultations on Article 6 of the Paris Agreement at COP-26 and COP-27, as well as on Mitigation at COP-28. </w:t>
      </w:r>
    </w:p>
    <w:p w14:paraId="590EB874" w14:textId="77777777" w:rsidR="006B7E41" w:rsidRPr="006B7E41" w:rsidRDefault="006B7E41" w:rsidP="0045392A">
      <w:pPr>
        <w:pStyle w:val="Question"/>
        <w:numPr>
          <w:ilvl w:val="0"/>
          <w:numId w:val="2"/>
        </w:numPr>
        <w:rPr>
          <w:rFonts w:asciiTheme="minorHAnsi" w:hAnsiTheme="minorHAnsi" w:cstheme="minorHAnsi"/>
          <w:b w:val="0"/>
          <w:bCs w:val="0"/>
          <w:sz w:val="22"/>
          <w:szCs w:val="22"/>
          <w:lang w:val="en-US" w:eastAsia="en-US"/>
        </w:rPr>
      </w:pPr>
      <w:r w:rsidRPr="006B7E41">
        <w:rPr>
          <w:rFonts w:asciiTheme="minorHAnsi" w:hAnsiTheme="minorHAnsi" w:cstheme="minorHAnsi"/>
          <w:b w:val="0"/>
          <w:bCs w:val="0"/>
          <w:sz w:val="22"/>
          <w:szCs w:val="22"/>
          <w:lang w:val="en-US" w:eastAsia="en-US"/>
        </w:rPr>
        <w:t>At COP-28, we also included youth delegates, of whom 60% were females, in our delegation to empower them to join global climate action.</w:t>
      </w:r>
    </w:p>
    <w:p w14:paraId="0D4BB20A" w14:textId="39996EF1" w:rsidR="004B7930" w:rsidRPr="00FD5181" w:rsidRDefault="004B7930" w:rsidP="00FD5181">
      <w:pPr>
        <w:pStyle w:val="BodyText2"/>
        <w:spacing w:line="259" w:lineRule="auto"/>
        <w:rPr>
          <w:lang w:val="en-US" w:eastAsia="en-SG"/>
        </w:rPr>
      </w:pPr>
      <w:r w:rsidRPr="00FD5181">
        <w:rPr>
          <w:lang w:val="en-US" w:eastAsia="en-SG"/>
        </w:rPr>
        <w:t xml:space="preserve">Additionally, many of the known climate change communicators and advocates are female which is testament to the prominence of female voices in leading climate change advocacy in Singapore. The </w:t>
      </w:r>
      <w:r w:rsidR="005E6D7B">
        <w:rPr>
          <w:lang w:val="en-US" w:eastAsia="en-SG"/>
        </w:rPr>
        <w:t>G</w:t>
      </w:r>
      <w:r w:rsidRPr="00FD5181">
        <w:rPr>
          <w:lang w:val="en-US" w:eastAsia="en-SG"/>
        </w:rPr>
        <w:t xml:space="preserve">overnment has worked with and supported </w:t>
      </w:r>
      <w:proofErr w:type="gramStart"/>
      <w:r w:rsidRPr="00FD5181">
        <w:rPr>
          <w:lang w:val="en-US" w:eastAsia="en-SG"/>
        </w:rPr>
        <w:t>a number of</w:t>
      </w:r>
      <w:proofErr w:type="gramEnd"/>
      <w:r w:rsidRPr="00FD5181">
        <w:rPr>
          <w:lang w:val="en-US" w:eastAsia="en-SG"/>
        </w:rPr>
        <w:t xml:space="preserve"> female climate change communicators. </w:t>
      </w:r>
    </w:p>
    <w:p w14:paraId="44EE10E9" w14:textId="76DBC42D" w:rsidR="00E164A1" w:rsidRDefault="00E164A1" w:rsidP="007E79D9"/>
    <w:p w14:paraId="2328BAE6" w14:textId="2E7DBD3E" w:rsidR="00E207F3" w:rsidRPr="005A4240" w:rsidRDefault="00973277" w:rsidP="005A4240">
      <w:pPr>
        <w:pStyle w:val="Heading3"/>
        <w:rPr>
          <w:b/>
          <w:bCs/>
        </w:rPr>
      </w:pPr>
      <w:bookmarkStart w:id="37" w:name="_Toc169709898"/>
      <w:r w:rsidRPr="001B47D8">
        <w:rPr>
          <w:b/>
          <w:bCs/>
        </w:rPr>
        <w:t xml:space="preserve">B. </w:t>
      </w:r>
      <w:r w:rsidRPr="001B47D8">
        <w:rPr>
          <w:b/>
          <w:bCs/>
        </w:rPr>
        <w:tab/>
      </w:r>
      <w:r w:rsidR="00290131">
        <w:rPr>
          <w:b/>
          <w:bCs/>
          <w:u w:val="single"/>
        </w:rPr>
        <w:t>Building</w:t>
      </w:r>
      <w:r w:rsidR="00C41646" w:rsidRPr="001B47D8">
        <w:rPr>
          <w:b/>
          <w:bCs/>
          <w:u w:val="single"/>
        </w:rPr>
        <w:t xml:space="preserve"> </w:t>
      </w:r>
      <w:r w:rsidR="00290131" w:rsidRPr="001B47D8">
        <w:rPr>
          <w:b/>
          <w:bCs/>
          <w:u w:val="single"/>
        </w:rPr>
        <w:t>Environmental and Climate Resilience</w:t>
      </w:r>
      <w:bookmarkEnd w:id="37"/>
      <w:r w:rsidR="00290131" w:rsidRPr="001B47D8">
        <w:rPr>
          <w:b/>
          <w:bCs/>
        </w:rPr>
        <w:t xml:space="preserve"> </w:t>
      </w:r>
    </w:p>
    <w:p w14:paraId="07A67EA4" w14:textId="77777777" w:rsidR="2352DAB0" w:rsidRDefault="2352DAB0" w:rsidP="00E164A1">
      <w:pPr>
        <w:spacing w:line="259" w:lineRule="auto"/>
        <w:jc w:val="both"/>
        <w:rPr>
          <w:lang w:eastAsia="en-SG"/>
        </w:rPr>
      </w:pPr>
    </w:p>
    <w:p w14:paraId="382B70E8" w14:textId="175DE1A7" w:rsidR="003352C9" w:rsidRDefault="003352C9" w:rsidP="00E164A1">
      <w:pPr>
        <w:spacing w:line="259" w:lineRule="auto"/>
        <w:jc w:val="both"/>
        <w:rPr>
          <w:lang w:eastAsia="en-SG"/>
        </w:rPr>
      </w:pPr>
      <w:r w:rsidRPr="003352C9">
        <w:rPr>
          <w:lang w:eastAsia="en-SG"/>
        </w:rPr>
        <w:t xml:space="preserve">Singapore strongly supports the multilateral framework on climate change. Like other small island developing States, Singapore contributes little to global emissions but is disproportionately vulnerable to </w:t>
      </w:r>
      <w:r w:rsidRPr="003352C9">
        <w:rPr>
          <w:lang w:eastAsia="en-SG"/>
        </w:rPr>
        <w:lastRenderedPageBreak/>
        <w:t>the impact of climate change, such as rising sea levels, rising temperatures and extreme weather patterns. While our high level of urbanisation means that our women are not disproportionately affected by the effects of climate change, our geographical characteristics demand that we address climate change to ensure the survival of all Singaporeans.</w:t>
      </w:r>
    </w:p>
    <w:p w14:paraId="478DD793" w14:textId="4F2E2417" w:rsidR="00A82867" w:rsidRDefault="00E164A1" w:rsidP="00E164A1">
      <w:pPr>
        <w:spacing w:line="259" w:lineRule="auto"/>
        <w:jc w:val="both"/>
        <w:rPr>
          <w:lang w:eastAsia="en-SG"/>
        </w:rPr>
      </w:pPr>
      <w:r>
        <w:rPr>
          <w:lang w:eastAsia="en-SG"/>
        </w:rPr>
        <w:t xml:space="preserve">The </w:t>
      </w:r>
      <w:r w:rsidR="00A82867">
        <w:rPr>
          <w:lang w:eastAsia="en-SG"/>
        </w:rPr>
        <w:t>Government adopts a science-based and proactive heat resilience strategy, which has three prongs. First, implementing national-level cooling strategies to benefit all segments of our society, including the vulnerable. Second, strengthening the community’s resilience, especially among more vulnerable population segments. Third, deepening our scientific understanding of the impact of rising temperatures. For instance, the Cooling Singapore 2.0 project also investigates the impact of heat on different segments of the population, such as the elderly and children.</w:t>
      </w:r>
    </w:p>
    <w:p w14:paraId="03821F2E" w14:textId="07784010" w:rsidR="008F3E99" w:rsidRPr="00A0472F" w:rsidRDefault="008F3E99" w:rsidP="00E164A1">
      <w:pPr>
        <w:spacing w:line="259" w:lineRule="auto"/>
        <w:jc w:val="both"/>
      </w:pPr>
      <w:r>
        <w:t>Singapore, women are well-represented in the planning profession. They hold leadership positions and serve on boards both in the public and private sectors. For example, women make up 65% of the planning professionals who work at the Urban Redevelopment Authority (URA), Singapore’s national land use planning and conservation agency. The current Chief Planner and three former Chief Executive Officer / Chief Planner of URA are women. Public consultation is an integral part of planning for Singapore. URA seeks to be as inclusive and representative as possible in the way it consults and involves stakeholders and members of the public of different demographics, including women, in the urban planning process. URA’s latest review of the Long-Term Plan involved more than 15,000 people from all walks of life from July 2021 to April 2022. The public engagement exercise culminated in a public exhibition to showcase the ideas and strategies for the future, and reached a total of 200,000 people.</w:t>
      </w:r>
      <w:r w:rsidR="00E164A1">
        <w:t xml:space="preserve"> </w:t>
      </w:r>
    </w:p>
    <w:p w14:paraId="2D58F617" w14:textId="31F2DDBC" w:rsidR="00DC0DA3" w:rsidRDefault="00DC0DA3" w:rsidP="0045392A">
      <w:pPr>
        <w:pStyle w:val="ListParagraph"/>
        <w:numPr>
          <w:ilvl w:val="0"/>
          <w:numId w:val="46"/>
        </w:numPr>
        <w:spacing w:line="259" w:lineRule="auto"/>
        <w:rPr>
          <w:rFonts w:asciiTheme="majorHAnsi" w:eastAsiaTheme="majorEastAsia" w:hAnsiTheme="majorHAnsi" w:cstheme="majorBidi"/>
          <w:b/>
          <w:bCs/>
          <w:color w:val="2F5496" w:themeColor="accent1" w:themeShade="BF"/>
          <w:sz w:val="32"/>
          <w:szCs w:val="32"/>
          <w:u w:val="single"/>
        </w:rPr>
      </w:pPr>
      <w:r>
        <w:rPr>
          <w:b/>
          <w:bCs/>
          <w:u w:val="single"/>
        </w:rPr>
        <w:br w:type="page"/>
      </w:r>
    </w:p>
    <w:p w14:paraId="4E923B73" w14:textId="60E787FE" w:rsidR="6B47BC25" w:rsidRPr="002B22E7" w:rsidRDefault="6B47BC25" w:rsidP="00EA1097">
      <w:pPr>
        <w:pStyle w:val="Heading1"/>
        <w:rPr>
          <w:b/>
          <w:bCs/>
          <w:sz w:val="40"/>
          <w:szCs w:val="40"/>
          <w:u w:val="single"/>
        </w:rPr>
      </w:pPr>
      <w:bookmarkStart w:id="38" w:name="_Toc169709899"/>
      <w:r w:rsidRPr="002B22E7">
        <w:rPr>
          <w:b/>
          <w:bCs/>
          <w:sz w:val="40"/>
          <w:szCs w:val="40"/>
          <w:u w:val="single"/>
        </w:rPr>
        <w:lastRenderedPageBreak/>
        <w:t xml:space="preserve">Section Four: National </w:t>
      </w:r>
      <w:r w:rsidR="12CDFE84" w:rsidRPr="002B22E7">
        <w:rPr>
          <w:b/>
          <w:bCs/>
          <w:sz w:val="40"/>
          <w:szCs w:val="40"/>
          <w:u w:val="single"/>
        </w:rPr>
        <w:t>institutions and processes</w:t>
      </w:r>
      <w:bookmarkEnd w:id="38"/>
    </w:p>
    <w:p w14:paraId="1BEE0162" w14:textId="522935E9" w:rsidR="2352DAB0" w:rsidRPr="0026281B" w:rsidRDefault="002B22E7" w:rsidP="0026281B">
      <w:pPr>
        <w:pStyle w:val="Heading3"/>
        <w:rPr>
          <w:b/>
          <w:bCs/>
        </w:rPr>
      </w:pPr>
      <w:bookmarkStart w:id="39" w:name="_Toc169709900"/>
      <w:r>
        <w:rPr>
          <w:b/>
          <w:bCs/>
        </w:rPr>
        <w:t>A.</w:t>
      </w:r>
      <w:r w:rsidR="00290131">
        <w:rPr>
          <w:b/>
          <w:bCs/>
        </w:rPr>
        <w:tab/>
      </w:r>
      <w:r w:rsidR="3CC51928" w:rsidRPr="002B22E7">
        <w:rPr>
          <w:b/>
          <w:bCs/>
          <w:u w:val="single"/>
        </w:rPr>
        <w:t xml:space="preserve">Singapore’s </w:t>
      </w:r>
      <w:r w:rsidR="00290131" w:rsidRPr="002B22E7">
        <w:rPr>
          <w:b/>
          <w:bCs/>
          <w:u w:val="single"/>
        </w:rPr>
        <w:t>National Strategy</w:t>
      </w:r>
      <w:r w:rsidR="00290131">
        <w:rPr>
          <w:b/>
          <w:bCs/>
          <w:u w:val="single"/>
        </w:rPr>
        <w:t xml:space="preserve"> and </w:t>
      </w:r>
      <w:r w:rsidR="00290131" w:rsidRPr="002B22E7">
        <w:rPr>
          <w:b/>
          <w:bCs/>
          <w:u w:val="single"/>
        </w:rPr>
        <w:t xml:space="preserve">Action Plan </w:t>
      </w:r>
      <w:r w:rsidR="00290131">
        <w:rPr>
          <w:b/>
          <w:bCs/>
          <w:u w:val="single"/>
        </w:rPr>
        <w:t>f</w:t>
      </w:r>
      <w:r w:rsidR="00290131" w:rsidRPr="002B22E7">
        <w:rPr>
          <w:b/>
          <w:bCs/>
          <w:u w:val="single"/>
        </w:rPr>
        <w:t>or Gender Equality</w:t>
      </w:r>
      <w:bookmarkEnd w:id="39"/>
    </w:p>
    <w:p w14:paraId="05251634" w14:textId="77777777" w:rsidR="009B0D02" w:rsidRDefault="009B0D02" w:rsidP="00F51043">
      <w:pPr>
        <w:jc w:val="both"/>
      </w:pPr>
      <w:r w:rsidRPr="009B0D02">
        <w:t>Singapore is fully committed to advancing the status and well-being of our women.</w:t>
      </w:r>
    </w:p>
    <w:p w14:paraId="52EA64D1" w14:textId="165E64BA" w:rsidR="009B0D02" w:rsidRDefault="009B0D02" w:rsidP="00F502BE">
      <w:pPr>
        <w:pStyle w:val="BodyText2"/>
      </w:pPr>
      <w:r>
        <w:t xml:space="preserve">On the international level, Singapore </w:t>
      </w:r>
      <w:r w:rsidR="00990DD8">
        <w:t>acceded to</w:t>
      </w:r>
      <w:r w:rsidR="00014E63">
        <w:t xml:space="preserve"> </w:t>
      </w:r>
      <w:r w:rsidR="00E80859" w:rsidRPr="00E80859">
        <w:t>the Convention on the Elimination of All Forms of Discrimination Against Women (CEDAW)</w:t>
      </w:r>
      <w:r w:rsidR="00990DD8">
        <w:t xml:space="preserve"> </w:t>
      </w:r>
      <w:r w:rsidR="00990DD8" w:rsidRPr="00990DD8">
        <w:t>on 5 October 1995</w:t>
      </w:r>
      <w:r w:rsidR="00E80859">
        <w:t xml:space="preserve">. </w:t>
      </w:r>
      <w:r w:rsidR="005917DA">
        <w:t xml:space="preserve">Since then, Singapore has </w:t>
      </w:r>
      <w:r w:rsidR="005717FC" w:rsidRPr="005717FC">
        <w:t xml:space="preserve">submitted </w:t>
      </w:r>
      <w:r w:rsidR="003D5DB0">
        <w:t>six</w:t>
      </w:r>
      <w:r w:rsidR="003D5DB0" w:rsidRPr="005717FC">
        <w:t xml:space="preserve"> </w:t>
      </w:r>
      <w:r w:rsidR="005717FC" w:rsidRPr="005717FC">
        <w:t>reports to the UN CEDAW Committee.</w:t>
      </w:r>
      <w:r w:rsidR="00C127EC">
        <w:t xml:space="preserve"> </w:t>
      </w:r>
      <w:r w:rsidR="00B8392D">
        <w:t xml:space="preserve">Singapore also </w:t>
      </w:r>
      <w:r w:rsidR="00B8392D">
        <w:rPr>
          <w:color w:val="000000"/>
        </w:rPr>
        <w:t>attended the 88</w:t>
      </w:r>
      <w:r w:rsidR="00B8392D" w:rsidRPr="00C94156">
        <w:rPr>
          <w:color w:val="000000"/>
          <w:vertAlign w:val="superscript"/>
        </w:rPr>
        <w:t>th</w:t>
      </w:r>
      <w:r w:rsidR="00B8392D">
        <w:rPr>
          <w:color w:val="000000"/>
        </w:rPr>
        <w:t xml:space="preserve"> Session of </w:t>
      </w:r>
      <w:r w:rsidR="00B8392D" w:rsidRPr="00C94156">
        <w:rPr>
          <w:color w:val="000000"/>
        </w:rPr>
        <w:t xml:space="preserve">the </w:t>
      </w:r>
      <w:r w:rsidR="00C127EC">
        <w:t xml:space="preserve">CEDAW </w:t>
      </w:r>
      <w:r w:rsidR="00F93DD1">
        <w:t xml:space="preserve">constructive </w:t>
      </w:r>
      <w:r w:rsidR="00C127EC">
        <w:t>dialogue</w:t>
      </w:r>
      <w:r w:rsidR="00B8392D">
        <w:t xml:space="preserve"> on 16 May 2024.</w:t>
      </w:r>
    </w:p>
    <w:p w14:paraId="0C77C347" w14:textId="7127760C" w:rsidR="000C15EC" w:rsidRDefault="000C15EC" w:rsidP="00F51043">
      <w:pPr>
        <w:jc w:val="both"/>
      </w:pPr>
      <w:r>
        <w:t>In</w:t>
      </w:r>
      <w:r w:rsidRPr="000C15EC">
        <w:t xml:space="preserve"> line with our commitment to Goal 5 of the Sustainable Development</w:t>
      </w:r>
      <w:r>
        <w:t xml:space="preserve"> </w:t>
      </w:r>
      <w:r w:rsidRPr="000C15EC">
        <w:t xml:space="preserve">Goals, since the submission of Singapore’s Sixth Periodic </w:t>
      </w:r>
      <w:r>
        <w:t xml:space="preserve">Report for CEDAW, </w:t>
      </w:r>
      <w:r w:rsidRPr="000C15EC">
        <w:t>Singapore published the White Paper on Singapore Women’s Development in March 2022.</w:t>
      </w:r>
      <w:r w:rsidR="007E7021">
        <w:t xml:space="preserve"> </w:t>
      </w:r>
    </w:p>
    <w:p w14:paraId="3579A8FA" w14:textId="222E0A0B" w:rsidR="007112B8" w:rsidRDefault="00BE5FFA" w:rsidP="00F51043">
      <w:pPr>
        <w:jc w:val="both"/>
        <w:rPr>
          <w:rFonts w:cs="Proxima Nova"/>
          <w:color w:val="000000"/>
        </w:rPr>
      </w:pPr>
      <w:r w:rsidRPr="0006407D">
        <w:t>In the White Paper,</w:t>
      </w:r>
      <w:r w:rsidR="00A807B3" w:rsidRPr="0006407D">
        <w:t xml:space="preserve"> 25 </w:t>
      </w:r>
      <w:r w:rsidR="005F4D94" w:rsidRPr="0006407D">
        <w:t>concrete action plans were set out</w:t>
      </w:r>
      <w:r w:rsidR="00583611" w:rsidRPr="0006407D">
        <w:t xml:space="preserve"> </w:t>
      </w:r>
      <w:r w:rsidR="00583611" w:rsidRPr="0006407D">
        <w:rPr>
          <w:rStyle w:val="A13"/>
          <w:sz w:val="22"/>
          <w:szCs w:val="22"/>
        </w:rPr>
        <w:t xml:space="preserve">by the Government and the community in five main areas highlighted in Section Two. </w:t>
      </w:r>
      <w:r w:rsidR="0006407D" w:rsidRPr="0006407D">
        <w:rPr>
          <w:rFonts w:cs="Proxima Nova"/>
          <w:color w:val="000000"/>
        </w:rPr>
        <w:t>These action plans aim to support the diverse aspirations of and challenges faced by Singapore women at different life-stages, centring around our shared values of fairness, equality, respect and solidarity.</w:t>
      </w:r>
      <w:r w:rsidR="00BA423A">
        <w:rPr>
          <w:rFonts w:cs="Proxima Nova"/>
          <w:color w:val="000000"/>
        </w:rPr>
        <w:t xml:space="preserve"> </w:t>
      </w:r>
    </w:p>
    <w:p w14:paraId="563535B7" w14:textId="5802FDAB" w:rsidR="00B83C39" w:rsidRDefault="007112B8" w:rsidP="00F51043">
      <w:pPr>
        <w:jc w:val="both"/>
        <w:rPr>
          <w:rStyle w:val="A23"/>
          <w:sz w:val="22"/>
          <w:szCs w:val="22"/>
        </w:rPr>
      </w:pPr>
      <w:r>
        <w:rPr>
          <w:rFonts w:cs="Proxima Nova"/>
          <w:color w:val="000000"/>
        </w:rPr>
        <w:t>T</w:t>
      </w:r>
      <w:r w:rsidR="00B83C39" w:rsidRPr="00B83C39">
        <w:rPr>
          <w:rStyle w:val="A23"/>
          <w:sz w:val="22"/>
          <w:szCs w:val="22"/>
        </w:rPr>
        <w:t>he</w:t>
      </w:r>
      <w:r>
        <w:rPr>
          <w:rStyle w:val="A23"/>
          <w:sz w:val="22"/>
          <w:szCs w:val="22"/>
        </w:rPr>
        <w:t>se</w:t>
      </w:r>
      <w:r w:rsidR="00B83C39" w:rsidRPr="00B83C39">
        <w:rPr>
          <w:rStyle w:val="A23"/>
          <w:sz w:val="22"/>
          <w:szCs w:val="22"/>
        </w:rPr>
        <w:t xml:space="preserve"> action plans will be implemented over a ten-year roadmap. The Government will continue to review and enhance measures to support Singapore women in the coming years together with community partners and will conduct a mid-point review in 2027.</w:t>
      </w:r>
      <w:r w:rsidR="000564DC">
        <w:rPr>
          <w:rStyle w:val="A23"/>
          <w:sz w:val="22"/>
          <w:szCs w:val="22"/>
        </w:rPr>
        <w:t xml:space="preserve"> </w:t>
      </w:r>
    </w:p>
    <w:p w14:paraId="0688D3BA" w14:textId="65989DAB" w:rsidR="00F162E8" w:rsidRPr="00F502BE" w:rsidRDefault="00F162E8" w:rsidP="00F51043">
      <w:pPr>
        <w:jc w:val="both"/>
        <w:rPr>
          <w:rStyle w:val="A23"/>
          <w:rFonts w:cstheme="minorHAnsi"/>
          <w:sz w:val="28"/>
          <w:szCs w:val="28"/>
        </w:rPr>
      </w:pPr>
      <w:r w:rsidRPr="00F502BE">
        <w:rPr>
          <w:rStyle w:val="cf01"/>
          <w:rFonts w:asciiTheme="minorHAnsi" w:hAnsiTheme="minorHAnsi" w:cstheme="minorHAnsi"/>
          <w:sz w:val="22"/>
          <w:szCs w:val="22"/>
        </w:rPr>
        <w:t>The Government has also published a progress report on women’s development in 2024 and will continue to do so annually. The report provide</w:t>
      </w:r>
      <w:r w:rsidR="00145FD9">
        <w:rPr>
          <w:rStyle w:val="cf01"/>
          <w:rFonts w:asciiTheme="minorHAnsi" w:hAnsiTheme="minorHAnsi" w:cstheme="minorHAnsi"/>
          <w:sz w:val="22"/>
          <w:szCs w:val="22"/>
        </w:rPr>
        <w:t>s</w:t>
      </w:r>
      <w:r w:rsidRPr="00F502BE">
        <w:rPr>
          <w:rStyle w:val="cf01"/>
          <w:rFonts w:asciiTheme="minorHAnsi" w:hAnsiTheme="minorHAnsi" w:cstheme="minorHAnsi"/>
          <w:sz w:val="22"/>
          <w:szCs w:val="22"/>
        </w:rPr>
        <w:t xml:space="preserve"> an update on progress made since the White Paper was published, including in the areas of women’s empowerment in the workplace, support for caregivers, protections from violence and harm and mindset shifts. </w:t>
      </w:r>
    </w:p>
    <w:p w14:paraId="7708E439" w14:textId="77777777" w:rsidR="00E350D0" w:rsidRDefault="00E350D0" w:rsidP="00E350D0"/>
    <w:p w14:paraId="07EF3355" w14:textId="6A4F106D" w:rsidR="085DC8EA" w:rsidRDefault="002B22E7" w:rsidP="009B300D">
      <w:pPr>
        <w:pStyle w:val="Heading3"/>
      </w:pPr>
      <w:bookmarkStart w:id="40" w:name="_Toc169709901"/>
      <w:r w:rsidRPr="0078085A">
        <w:rPr>
          <w:rStyle w:val="Heading3Char"/>
          <w:b/>
          <w:bCs/>
        </w:rPr>
        <w:t>B.</w:t>
      </w:r>
      <w:r w:rsidRPr="0078085A">
        <w:rPr>
          <w:rStyle w:val="Heading3Char"/>
          <w:b/>
          <w:bCs/>
        </w:rPr>
        <w:tab/>
      </w:r>
      <w:r w:rsidR="085DC8EA" w:rsidRPr="0078085A">
        <w:rPr>
          <w:rStyle w:val="Heading3Char"/>
          <w:b/>
          <w:bCs/>
          <w:u w:val="single"/>
        </w:rPr>
        <w:t>Budget</w:t>
      </w:r>
      <w:r w:rsidR="00290131">
        <w:rPr>
          <w:rStyle w:val="Heading3Char"/>
          <w:b/>
          <w:bCs/>
          <w:u w:val="single"/>
        </w:rPr>
        <w:t xml:space="preserve"> and</w:t>
      </w:r>
      <w:r w:rsidR="085DC8EA" w:rsidRPr="0078085A">
        <w:rPr>
          <w:rStyle w:val="Heading3Char"/>
          <w:b/>
          <w:bCs/>
          <w:u w:val="single"/>
        </w:rPr>
        <w:t xml:space="preserve"> Allocation of </w:t>
      </w:r>
      <w:r w:rsidR="00290131">
        <w:rPr>
          <w:rStyle w:val="Heading3Char"/>
          <w:b/>
          <w:bCs/>
          <w:u w:val="single"/>
        </w:rPr>
        <w:t>R</w:t>
      </w:r>
      <w:r w:rsidR="085DC8EA" w:rsidRPr="0078085A">
        <w:rPr>
          <w:rStyle w:val="Heading3Char"/>
          <w:b/>
          <w:bCs/>
          <w:u w:val="single"/>
        </w:rPr>
        <w:t>esources</w:t>
      </w:r>
      <w:bookmarkEnd w:id="40"/>
      <w:r w:rsidR="085DC8EA" w:rsidRPr="0078085A">
        <w:t xml:space="preserve"> </w:t>
      </w:r>
      <w:r w:rsidR="00CC5076">
        <w:br/>
      </w:r>
    </w:p>
    <w:p w14:paraId="7E103249" w14:textId="00107173" w:rsidR="001E1679" w:rsidRDefault="00ED7699" w:rsidP="00290131">
      <w:pPr>
        <w:tabs>
          <w:tab w:val="left" w:pos="1414"/>
        </w:tabs>
        <w:spacing w:before="120" w:after="120" w:line="240" w:lineRule="auto"/>
        <w:contextualSpacing/>
        <w:jc w:val="both"/>
      </w:pPr>
      <w:r>
        <w:t xml:space="preserve">Singapore ensures that all citizens have equal access to fundamental resources such as education, healthcare and social protection. </w:t>
      </w:r>
      <w:r w:rsidR="001E1679">
        <w:rPr>
          <w:rFonts w:cs="Arial"/>
          <w:color w:val="000000" w:themeColor="text1"/>
        </w:rPr>
        <w:t xml:space="preserve">Government expenditures are considered by Parliament during the annual </w:t>
      </w:r>
      <w:r w:rsidR="001E1679" w:rsidRPr="125D59A2">
        <w:rPr>
          <w:rFonts w:cs="Arial"/>
          <w:color w:val="000000" w:themeColor="text1"/>
        </w:rPr>
        <w:t>Budget and Committee</w:t>
      </w:r>
      <w:r w:rsidR="001E1679">
        <w:rPr>
          <w:rFonts w:cs="Arial"/>
          <w:color w:val="000000" w:themeColor="text1"/>
        </w:rPr>
        <w:t xml:space="preserve"> of Supply</w:t>
      </w:r>
      <w:r w:rsidR="001E1679" w:rsidRPr="125D59A2">
        <w:rPr>
          <w:rFonts w:cs="Arial"/>
          <w:color w:val="000000" w:themeColor="text1"/>
        </w:rPr>
        <w:t xml:space="preserve"> Debates</w:t>
      </w:r>
      <w:r w:rsidR="001E1679">
        <w:rPr>
          <w:rFonts w:cs="Arial"/>
          <w:color w:val="000000" w:themeColor="text1"/>
        </w:rPr>
        <w:t>, where members debate the policies and programmes of ministries</w:t>
      </w:r>
      <w:r w:rsidR="001E1679" w:rsidRPr="6C12D84B">
        <w:rPr>
          <w:rFonts w:cs="Arial"/>
          <w:color w:val="000000" w:themeColor="text1"/>
        </w:rPr>
        <w:t xml:space="preserve"> for the upcoming year</w:t>
      </w:r>
      <w:r w:rsidR="001E1679" w:rsidRPr="531B67C1">
        <w:rPr>
          <w:rFonts w:cs="Arial"/>
          <w:color w:val="000000" w:themeColor="text1"/>
        </w:rPr>
        <w:t>,</w:t>
      </w:r>
      <w:r w:rsidR="001E1679">
        <w:rPr>
          <w:rFonts w:cs="Arial"/>
          <w:color w:val="000000" w:themeColor="text1"/>
        </w:rPr>
        <w:t xml:space="preserve"> </w:t>
      </w:r>
      <w:r w:rsidR="001E1679" w:rsidRPr="4A2D3743">
        <w:rPr>
          <w:rFonts w:cs="Arial"/>
          <w:color w:val="000000" w:themeColor="text1"/>
        </w:rPr>
        <w:t>before a vote is taken to pass the Supply Bill. As</w:t>
      </w:r>
      <w:r w:rsidR="001E1679">
        <w:rPr>
          <w:rFonts w:cs="Arial"/>
          <w:color w:val="000000" w:themeColor="text1"/>
        </w:rPr>
        <w:t xml:space="preserve"> such, there is parliamentary scrutiny over the implementation, outcome</w:t>
      </w:r>
      <w:r w:rsidR="00290131">
        <w:rPr>
          <w:rFonts w:cs="Arial"/>
          <w:color w:val="000000" w:themeColor="text1"/>
        </w:rPr>
        <w:t>,</w:t>
      </w:r>
      <w:r w:rsidR="001E1679">
        <w:rPr>
          <w:rFonts w:cs="Arial"/>
          <w:color w:val="000000" w:themeColor="text1"/>
        </w:rPr>
        <w:t xml:space="preserve"> and impact of policies, including policies related to women’s development and promotion of gender equality. </w:t>
      </w:r>
    </w:p>
    <w:p w14:paraId="5A1FDC6B" w14:textId="77777777" w:rsidR="00290131" w:rsidRPr="00290131" w:rsidRDefault="00290131" w:rsidP="00290131">
      <w:pPr>
        <w:tabs>
          <w:tab w:val="left" w:pos="1414"/>
        </w:tabs>
        <w:spacing w:before="120" w:after="120" w:line="240" w:lineRule="auto"/>
        <w:contextualSpacing/>
        <w:jc w:val="both"/>
        <w:rPr>
          <w:highlight w:val="yellow"/>
        </w:rPr>
      </w:pPr>
    </w:p>
    <w:p w14:paraId="3AAFF6B0" w14:textId="7BD03863" w:rsidR="00ED7699" w:rsidRDefault="00B4048E" w:rsidP="002523B0">
      <w:pPr>
        <w:jc w:val="both"/>
      </w:pPr>
      <w:r>
        <w:t>The Inter-Agency Committee on the White Paper on Singapore Women’s Development takes a gender-sensitive perspective on issues that have differing impact on women and men, and strives to ensure a fair distribution of resources by the agencies within the Committee to support sustainable, inclusive development for Singaporean women.</w:t>
      </w:r>
    </w:p>
    <w:p w14:paraId="36C2F0FC" w14:textId="1AA686F8" w:rsidR="00FE4583" w:rsidRDefault="00AF1252" w:rsidP="002523B0">
      <w:pPr>
        <w:jc w:val="both"/>
      </w:pPr>
      <w:r w:rsidRPr="00AF1252">
        <w:t>Our approach aims to build a fairer and more inclusive society, where the public, and private sectors work together and with individuals to support the advancement of women.</w:t>
      </w:r>
      <w:r w:rsidR="00555721">
        <w:t xml:space="preserve"> We coordinate efforts across the </w:t>
      </w:r>
      <w:r w:rsidR="005E6D7B">
        <w:t>W</w:t>
      </w:r>
      <w:r w:rsidR="00555721">
        <w:t>hole-of-</w:t>
      </w:r>
      <w:r w:rsidR="005E6D7B">
        <w:t>G</w:t>
      </w:r>
      <w:r w:rsidR="00555721">
        <w:t>overnment to ensure that the impact of our policies on women is taken into account at all levels and stages in the design, planning and delivery of programmes.</w:t>
      </w:r>
      <w:r w:rsidR="007E6618">
        <w:t xml:space="preserve"> </w:t>
      </w:r>
    </w:p>
    <w:p w14:paraId="510976F2" w14:textId="19C8B9B0" w:rsidR="00E37F88" w:rsidRDefault="0027754F" w:rsidP="002523B0">
      <w:pPr>
        <w:jc w:val="both"/>
      </w:pPr>
      <w:r>
        <w:lastRenderedPageBreak/>
        <w:t>For example, i</w:t>
      </w:r>
      <w:r w:rsidR="00555721">
        <w:t>n drafting the White Paper on Singapore Women’s Development, the Government coordinated efforts across various Ministries and agencies to introduce and review policies, and enhance resources that will better support the aspirations of Singapore women.</w:t>
      </w:r>
      <w:r w:rsidR="00FE4583">
        <w:t xml:space="preserve"> Many of the policies in the White Paper were developed to address the needs and aspirations of women, and budgetary resources are allocated to support the implementation of these policies. </w:t>
      </w:r>
    </w:p>
    <w:p w14:paraId="4E1923AC" w14:textId="77777777" w:rsidR="00AF1252" w:rsidRDefault="00AF1252" w:rsidP="00AF1252"/>
    <w:p w14:paraId="345E44B7" w14:textId="1FB13FF8" w:rsidR="00642401" w:rsidRDefault="002B22E7" w:rsidP="0078085A">
      <w:pPr>
        <w:pStyle w:val="Heading3"/>
        <w:rPr>
          <w:rFonts w:asciiTheme="minorHAnsi" w:hAnsiTheme="minorHAnsi" w:cstheme="minorHAnsi"/>
          <w:color w:val="auto"/>
          <w:sz w:val="22"/>
          <w:szCs w:val="22"/>
          <w:lang w:val="en-GB" w:eastAsia="zh-CN"/>
        </w:rPr>
      </w:pPr>
      <w:bookmarkStart w:id="41" w:name="_Toc169709902"/>
      <w:r w:rsidRPr="0078085A">
        <w:rPr>
          <w:rStyle w:val="Heading3Char"/>
          <w:b/>
          <w:bCs/>
        </w:rPr>
        <w:t>C.</w:t>
      </w:r>
      <w:r w:rsidRPr="0078085A">
        <w:rPr>
          <w:rStyle w:val="Heading3Char"/>
          <w:b/>
          <w:bCs/>
        </w:rPr>
        <w:tab/>
      </w:r>
      <w:r w:rsidR="699113F3" w:rsidRPr="0078085A">
        <w:rPr>
          <w:rStyle w:val="Heading3Char"/>
          <w:b/>
          <w:bCs/>
          <w:u w:val="single"/>
        </w:rPr>
        <w:t xml:space="preserve">Stakeholder </w:t>
      </w:r>
      <w:r w:rsidR="00290131">
        <w:rPr>
          <w:rStyle w:val="Heading3Char"/>
          <w:b/>
          <w:bCs/>
          <w:u w:val="single"/>
        </w:rPr>
        <w:t>P</w:t>
      </w:r>
      <w:r w:rsidR="699113F3" w:rsidRPr="0078085A">
        <w:rPr>
          <w:rStyle w:val="Heading3Char"/>
          <w:b/>
          <w:bCs/>
          <w:u w:val="single"/>
        </w:rPr>
        <w:t>articipation</w:t>
      </w:r>
      <w:bookmarkEnd w:id="41"/>
      <w:r w:rsidR="699113F3" w:rsidRPr="0078085A">
        <w:t xml:space="preserve"> </w:t>
      </w:r>
      <w:r w:rsidR="005E4840">
        <w:br/>
      </w:r>
    </w:p>
    <w:p w14:paraId="2714825E" w14:textId="232C24BA" w:rsidR="009B4D30" w:rsidRPr="00BC0630" w:rsidRDefault="009B4D30" w:rsidP="000505DA">
      <w:pPr>
        <w:pStyle w:val="BodyText2"/>
        <w:rPr>
          <w:lang w:val="en-GB" w:eastAsia="zh-CN"/>
        </w:rPr>
      </w:pPr>
      <w:bookmarkStart w:id="42" w:name="_Toc167788829"/>
      <w:r w:rsidRPr="00BC0630">
        <w:rPr>
          <w:lang w:val="en-GB" w:eastAsia="zh-CN"/>
        </w:rPr>
        <w:t>In 2020, the Government launched a whole-of</w:t>
      </w:r>
      <w:r w:rsidR="000505DA">
        <w:rPr>
          <w:lang w:val="en-GB" w:eastAsia="zh-CN"/>
        </w:rPr>
        <w:t>-</w:t>
      </w:r>
      <w:r w:rsidRPr="00BC0630">
        <w:rPr>
          <w:lang w:val="en-GB" w:eastAsia="zh-CN"/>
        </w:rPr>
        <w:t xml:space="preserve">society review of Singapore women’s development. Through a year-long nationwide Conversations on Singapore Women’s Development, we consulted and gathered views from </w:t>
      </w:r>
      <w:r w:rsidR="00FC0B39">
        <w:rPr>
          <w:lang w:val="en-GB" w:eastAsia="zh-CN"/>
        </w:rPr>
        <w:t xml:space="preserve">30 partner organisations and </w:t>
      </w:r>
      <w:r w:rsidRPr="00BC0630">
        <w:rPr>
          <w:lang w:val="en-GB" w:eastAsia="zh-CN"/>
        </w:rPr>
        <w:t xml:space="preserve">close to 6,000 Singaporeans to chart the way forward on this fundamental issue. These Conversations assessed current initiatives aimed at empowering women and expressed our shared hopes and ambitions for women in Singapore. Feedback from the Conversations shaped the White Paper on Singapore Women’s Development published in March 2022 and were unanimously endorsed by the Singapore Parliament. The White Paper reflects the shared vision of Singaporeans and outline 25 collective action plans in five main areas we are prepared to take collectively, towards a fairer and more inclusive society. </w:t>
      </w:r>
      <w:bookmarkEnd w:id="42"/>
    </w:p>
    <w:p w14:paraId="1E69FE0D" w14:textId="5F2AFDEE" w:rsidR="005C284F" w:rsidRPr="002A0527" w:rsidRDefault="00C42AFC" w:rsidP="00543161">
      <w:pPr>
        <w:jc w:val="both"/>
        <w:rPr>
          <w:lang w:val="en-GB"/>
        </w:rPr>
      </w:pPr>
      <w:r>
        <w:rPr>
          <w:lang w:val="en-GB"/>
        </w:rPr>
        <w:t>C</w:t>
      </w:r>
      <w:r w:rsidRPr="00C42AFC">
        <w:rPr>
          <w:lang w:val="en-GB"/>
        </w:rPr>
        <w:t xml:space="preserve">onsultation and collaboration with civil society is important and integral </w:t>
      </w:r>
      <w:r w:rsidRPr="00176CA5">
        <w:rPr>
          <w:lang w:val="en-GB"/>
        </w:rPr>
        <w:t>to</w:t>
      </w:r>
      <w:r w:rsidR="006B30FB">
        <w:rPr>
          <w:lang w:val="en-GB"/>
        </w:rPr>
        <w:t xml:space="preserve">wards our </w:t>
      </w:r>
      <w:r w:rsidR="00AC6205">
        <w:rPr>
          <w:lang w:val="en-GB"/>
        </w:rPr>
        <w:t xml:space="preserve">efforts to progress women’s development </w:t>
      </w:r>
      <w:r w:rsidR="00317FD2">
        <w:rPr>
          <w:lang w:val="en-GB"/>
        </w:rPr>
        <w:t>and</w:t>
      </w:r>
      <w:r w:rsidRPr="00176CA5">
        <w:rPr>
          <w:lang w:val="en-GB"/>
        </w:rPr>
        <w:t xml:space="preserve"> the implementation of </w:t>
      </w:r>
      <w:r w:rsidR="00317FD2">
        <w:rPr>
          <w:lang w:val="en-GB"/>
        </w:rPr>
        <w:t xml:space="preserve">our </w:t>
      </w:r>
      <w:r w:rsidR="00AB5488">
        <w:rPr>
          <w:lang w:val="en-GB"/>
        </w:rPr>
        <w:t>action plans and</w:t>
      </w:r>
      <w:r w:rsidR="00317FD2">
        <w:rPr>
          <w:lang w:val="en-GB"/>
        </w:rPr>
        <w:t xml:space="preserve"> com</w:t>
      </w:r>
      <w:r w:rsidR="00003046">
        <w:rPr>
          <w:lang w:val="en-GB"/>
        </w:rPr>
        <w:t>m</w:t>
      </w:r>
      <w:r w:rsidR="00AC5FBD">
        <w:rPr>
          <w:lang w:val="en-GB"/>
        </w:rPr>
        <w:t xml:space="preserve">itments to international </w:t>
      </w:r>
      <w:r w:rsidR="001A1C6D">
        <w:rPr>
          <w:lang w:val="en-GB"/>
        </w:rPr>
        <w:t xml:space="preserve">platforms such as CEDAW and </w:t>
      </w:r>
      <w:r w:rsidRPr="00176CA5">
        <w:rPr>
          <w:lang w:val="en-GB"/>
        </w:rPr>
        <w:t>B</w:t>
      </w:r>
      <w:r w:rsidR="00006916" w:rsidRPr="00176CA5">
        <w:rPr>
          <w:lang w:val="en-GB"/>
        </w:rPr>
        <w:t>D</w:t>
      </w:r>
      <w:r w:rsidRPr="00176CA5">
        <w:rPr>
          <w:lang w:val="en-GB"/>
        </w:rPr>
        <w:t>PA.</w:t>
      </w:r>
      <w:r>
        <w:rPr>
          <w:lang w:val="en-GB"/>
        </w:rPr>
        <w:t xml:space="preserve"> </w:t>
      </w:r>
      <w:r w:rsidR="002A0527" w:rsidRPr="002A0527">
        <w:rPr>
          <w:lang w:val="en-GB"/>
        </w:rPr>
        <w:t>The Government organises regular dialogue sessions, focus group discussions and public forums to actively obtain the public’s views on policies and legislative changes that will support the aspirations of women.</w:t>
      </w:r>
      <w:r w:rsidR="00FC3E92">
        <w:rPr>
          <w:lang w:val="en-GB"/>
        </w:rPr>
        <w:t xml:space="preserve"> </w:t>
      </w:r>
      <w:r w:rsidR="002A0527" w:rsidRPr="002A0527">
        <w:rPr>
          <w:lang w:val="en-GB"/>
        </w:rPr>
        <w:t>These channels of communication and collaboration are crucial for the Government to understand the challenges faced by women, and the effectiveness of existing policies and gaps that need to be addressed.</w:t>
      </w:r>
    </w:p>
    <w:p w14:paraId="6CB60347" w14:textId="39CA5414" w:rsidR="002A0527" w:rsidRDefault="00613419" w:rsidP="00543161">
      <w:pPr>
        <w:pStyle w:val="ListParagraph"/>
        <w:ind w:left="0"/>
        <w:jc w:val="both"/>
      </w:pPr>
      <w:r>
        <w:t xml:space="preserve">In preparing this national report, </w:t>
      </w:r>
      <w:r w:rsidR="00AD0648">
        <w:t xml:space="preserve">the </w:t>
      </w:r>
      <w:r w:rsidR="005C284F" w:rsidRPr="09E2E5D3">
        <w:rPr>
          <w:rFonts w:eastAsia="SimSun" w:cs="Arial"/>
          <w:lang w:val="en-GB" w:eastAsia="zh-CN"/>
        </w:rPr>
        <w:t>Strategy and Women’s Development Division</w:t>
      </w:r>
      <w:r w:rsidR="005C284F">
        <w:rPr>
          <w:rFonts w:eastAsia="SimSun" w:cs="Arial"/>
          <w:lang w:val="en-GB" w:eastAsia="zh-CN"/>
        </w:rPr>
        <w:t xml:space="preserve"> worked closely with relevant Government ministries</w:t>
      </w:r>
      <w:r w:rsidR="00446DB8">
        <w:rPr>
          <w:rFonts w:eastAsia="SimSun" w:cs="Arial"/>
          <w:lang w:val="en-GB" w:eastAsia="zh-CN"/>
        </w:rPr>
        <w:t>, civil society organisations, the</w:t>
      </w:r>
      <w:r w:rsidR="00A16C22">
        <w:rPr>
          <w:rFonts w:eastAsia="SimSun" w:cs="Arial"/>
          <w:lang w:val="en-GB" w:eastAsia="zh-CN"/>
        </w:rPr>
        <w:t xml:space="preserve"> private sector, and other stakeholders</w:t>
      </w:r>
      <w:r w:rsidR="005C284F">
        <w:rPr>
          <w:rFonts w:eastAsia="SimSun" w:cs="Arial"/>
          <w:lang w:val="en-GB" w:eastAsia="zh-CN"/>
        </w:rPr>
        <w:t xml:space="preserve">. </w:t>
      </w:r>
      <w:r w:rsidR="000102BA">
        <w:rPr>
          <w:rFonts w:eastAsia="SimSun" w:cs="Arial"/>
          <w:lang w:val="en-GB" w:eastAsia="zh-CN"/>
        </w:rPr>
        <w:t xml:space="preserve">This ensured </w:t>
      </w:r>
      <w:r w:rsidR="002C664A">
        <w:rPr>
          <w:rFonts w:eastAsia="SimSun" w:cs="Arial"/>
          <w:lang w:val="en-GB" w:eastAsia="zh-CN"/>
        </w:rPr>
        <w:t>an inclusive and thorough review process at the national and sub-national levels</w:t>
      </w:r>
      <w:r w:rsidR="00151560">
        <w:rPr>
          <w:rFonts w:eastAsia="SimSun" w:cs="Arial"/>
          <w:lang w:val="en-GB" w:eastAsia="zh-CN"/>
        </w:rPr>
        <w:t>.</w:t>
      </w:r>
    </w:p>
    <w:p w14:paraId="1308A193" w14:textId="77777777" w:rsidR="002A0527" w:rsidRDefault="002A0527" w:rsidP="0026281B">
      <w:pPr>
        <w:ind w:left="360"/>
      </w:pPr>
    </w:p>
    <w:p w14:paraId="544D10E7" w14:textId="2CDB59D8" w:rsidR="43F29B1F" w:rsidRDefault="002B22E7" w:rsidP="00642401">
      <w:pPr>
        <w:pStyle w:val="Heading3"/>
      </w:pPr>
      <w:bookmarkStart w:id="43" w:name="_Toc169709903"/>
      <w:r>
        <w:rPr>
          <w:rStyle w:val="Heading3Char"/>
          <w:b/>
        </w:rPr>
        <w:t>D.</w:t>
      </w:r>
      <w:r>
        <w:rPr>
          <w:rStyle w:val="Heading3Char"/>
          <w:b/>
        </w:rPr>
        <w:tab/>
      </w:r>
      <w:r w:rsidR="004A7B6C" w:rsidRPr="002B22E7">
        <w:rPr>
          <w:rStyle w:val="Heading3Char"/>
          <w:b/>
          <w:u w:val="single"/>
        </w:rPr>
        <w:t xml:space="preserve">CEDAW </w:t>
      </w:r>
      <w:r w:rsidR="00290131">
        <w:rPr>
          <w:rStyle w:val="Heading3Char"/>
          <w:b/>
          <w:u w:val="single"/>
        </w:rPr>
        <w:t>A</w:t>
      </w:r>
      <w:r w:rsidR="699113F3" w:rsidRPr="002B22E7">
        <w:rPr>
          <w:rStyle w:val="Heading3Char"/>
          <w:b/>
          <w:u w:val="single"/>
        </w:rPr>
        <w:t xml:space="preserve">ction </w:t>
      </w:r>
      <w:r w:rsidR="00290131">
        <w:rPr>
          <w:rStyle w:val="Heading3Char"/>
          <w:b/>
          <w:u w:val="single"/>
        </w:rPr>
        <w:t>P</w:t>
      </w:r>
      <w:r w:rsidR="699113F3" w:rsidRPr="002B22E7">
        <w:rPr>
          <w:rStyle w:val="Heading3Char"/>
          <w:b/>
          <w:u w:val="single"/>
        </w:rPr>
        <w:t xml:space="preserve">lan and </w:t>
      </w:r>
      <w:r w:rsidR="00290131">
        <w:rPr>
          <w:rStyle w:val="Heading3Char"/>
          <w:b/>
          <w:u w:val="single"/>
        </w:rPr>
        <w:t>T</w:t>
      </w:r>
      <w:r w:rsidR="699113F3" w:rsidRPr="002B22E7">
        <w:rPr>
          <w:rStyle w:val="Heading3Char"/>
          <w:b/>
          <w:u w:val="single"/>
        </w:rPr>
        <w:t>imeline</w:t>
      </w:r>
      <w:bookmarkEnd w:id="43"/>
      <w:r w:rsidR="699113F3">
        <w:t xml:space="preserve"> </w:t>
      </w:r>
    </w:p>
    <w:p w14:paraId="5E265140" w14:textId="77777777" w:rsidR="00F150F9" w:rsidRPr="002D6C9B" w:rsidRDefault="00F150F9" w:rsidP="00F51043">
      <w:pPr>
        <w:spacing w:before="120" w:after="120"/>
        <w:jc w:val="both"/>
        <w:rPr>
          <w:rFonts w:cs="Arial"/>
          <w:szCs w:val="24"/>
          <w:lang w:eastAsia="en-SG"/>
        </w:rPr>
      </w:pPr>
      <w:r w:rsidRPr="00E1432D">
        <w:rPr>
          <w:rFonts w:cs="Arial"/>
          <w:szCs w:val="24"/>
          <w:lang w:eastAsia="en-SG"/>
        </w:rPr>
        <w:t xml:space="preserve">The Government is fully committed to our obligations under CEDAW. Since our accession to CEDAW almost 30 years ago, the Convention has been an important resource and reference point for us in shaping and guiding our policies to uphold and strengthen women’s rights. We work towards empowering women to pursue their aspirations freely and to the fullest, in equal partnership with men, and in the family and in society. </w:t>
      </w:r>
    </w:p>
    <w:p w14:paraId="4AEA7F9C" w14:textId="6FACF069" w:rsidR="00C429BB" w:rsidRDefault="002C734F" w:rsidP="00F51043">
      <w:pPr>
        <w:jc w:val="both"/>
        <w:rPr>
          <w:color w:val="000000"/>
        </w:rPr>
      </w:pPr>
      <w:r>
        <w:t>Singapore submitted our 6</w:t>
      </w:r>
      <w:r w:rsidRPr="002C734F">
        <w:rPr>
          <w:vertAlign w:val="superscript"/>
        </w:rPr>
        <w:t>th</w:t>
      </w:r>
      <w:r>
        <w:t xml:space="preserve"> periodic report to CEDAW in 20</w:t>
      </w:r>
      <w:r w:rsidR="00213C7B">
        <w:t>2</w:t>
      </w:r>
      <w:r>
        <w:t>1</w:t>
      </w:r>
      <w:r w:rsidR="00213C7B">
        <w:t xml:space="preserve"> and </w:t>
      </w:r>
      <w:r w:rsidR="00213C7B">
        <w:rPr>
          <w:color w:val="000000"/>
        </w:rPr>
        <w:t>attended the 88</w:t>
      </w:r>
      <w:r w:rsidR="00213C7B" w:rsidRPr="00C94156">
        <w:rPr>
          <w:color w:val="000000"/>
          <w:vertAlign w:val="superscript"/>
        </w:rPr>
        <w:t>th</w:t>
      </w:r>
      <w:r w:rsidR="00213C7B">
        <w:rPr>
          <w:color w:val="000000"/>
        </w:rPr>
        <w:t xml:space="preserve"> Session of </w:t>
      </w:r>
      <w:r w:rsidR="00213C7B" w:rsidRPr="00C94156">
        <w:rPr>
          <w:color w:val="000000"/>
        </w:rPr>
        <w:t>the Committee on the Elimination of Discrimination Against Women (CEDAW)</w:t>
      </w:r>
      <w:r w:rsidR="00213C7B">
        <w:rPr>
          <w:color w:val="000000"/>
        </w:rPr>
        <w:t xml:space="preserve"> Constructive Dialogue </w:t>
      </w:r>
      <w:r w:rsidR="004B7829">
        <w:rPr>
          <w:color w:val="000000"/>
        </w:rPr>
        <w:t xml:space="preserve">in </w:t>
      </w:r>
      <w:r w:rsidR="00213C7B">
        <w:rPr>
          <w:color w:val="000000"/>
        </w:rPr>
        <w:t xml:space="preserve">Geneva, Switzerland </w:t>
      </w:r>
      <w:r w:rsidR="004B7829">
        <w:rPr>
          <w:color w:val="000000"/>
        </w:rPr>
        <w:t>o</w:t>
      </w:r>
      <w:r w:rsidR="00213C7B">
        <w:rPr>
          <w:color w:val="000000"/>
        </w:rPr>
        <w:t xml:space="preserve">n </w:t>
      </w:r>
      <w:r w:rsidR="004B7829">
        <w:rPr>
          <w:color w:val="000000"/>
        </w:rPr>
        <w:t>16</w:t>
      </w:r>
      <w:r w:rsidR="00213C7B">
        <w:rPr>
          <w:color w:val="000000"/>
        </w:rPr>
        <w:t xml:space="preserve"> May 2024</w:t>
      </w:r>
      <w:r w:rsidR="004B7829">
        <w:rPr>
          <w:color w:val="000000"/>
        </w:rPr>
        <w:t xml:space="preserve">, with a 23 person Singapore delegation </w:t>
      </w:r>
      <w:r w:rsidR="00F82063">
        <w:rPr>
          <w:color w:val="000000"/>
        </w:rPr>
        <w:t xml:space="preserve">including </w:t>
      </w:r>
      <w:r w:rsidR="00B941B5">
        <w:rPr>
          <w:color w:val="000000"/>
        </w:rPr>
        <w:t xml:space="preserve">representatives from </w:t>
      </w:r>
      <w:r w:rsidR="00F82063">
        <w:rPr>
          <w:color w:val="000000"/>
        </w:rPr>
        <w:t xml:space="preserve">9 </w:t>
      </w:r>
      <w:r w:rsidR="00B941B5">
        <w:rPr>
          <w:color w:val="000000"/>
        </w:rPr>
        <w:t>Government</w:t>
      </w:r>
      <w:r w:rsidR="004B7829">
        <w:rPr>
          <w:color w:val="000000"/>
        </w:rPr>
        <w:t xml:space="preserve"> </w:t>
      </w:r>
      <w:r w:rsidR="00404409">
        <w:rPr>
          <w:color w:val="000000"/>
        </w:rPr>
        <w:t>ministries</w:t>
      </w:r>
      <w:r w:rsidR="00213C7B">
        <w:rPr>
          <w:color w:val="000000"/>
        </w:rPr>
        <w:t xml:space="preserve">. </w:t>
      </w:r>
    </w:p>
    <w:p w14:paraId="3AEB8F56" w14:textId="6D82CCE0" w:rsidR="00D45810" w:rsidRPr="00D45810" w:rsidRDefault="00910553" w:rsidP="00F51043">
      <w:pPr>
        <w:jc w:val="both"/>
        <w:rPr>
          <w:color w:val="000000"/>
        </w:rPr>
      </w:pPr>
      <w:r>
        <w:rPr>
          <w:color w:val="000000"/>
        </w:rPr>
        <w:t xml:space="preserve">As part of Singapore’s efforts to raise awareness </w:t>
      </w:r>
      <w:r w:rsidR="00D45810">
        <w:rPr>
          <w:color w:val="000000"/>
        </w:rPr>
        <w:t>of the Convention, the</w:t>
      </w:r>
      <w:r w:rsidR="00D45810" w:rsidRPr="00D45810">
        <w:rPr>
          <w:color w:val="000000"/>
        </w:rPr>
        <w:t xml:space="preserve"> </w:t>
      </w:r>
      <w:r w:rsidR="00D45810">
        <w:rPr>
          <w:color w:val="000000"/>
        </w:rPr>
        <w:t>MSF</w:t>
      </w:r>
      <w:r w:rsidR="00D45810" w:rsidRPr="00D45810">
        <w:rPr>
          <w:color w:val="000000"/>
        </w:rPr>
        <w:t xml:space="preserve"> website has a dedicated section for information about CEDAW, and how it is being implemented in Singapore. Our periodic </w:t>
      </w:r>
      <w:r w:rsidR="00D45810" w:rsidRPr="00D45810">
        <w:rPr>
          <w:color w:val="000000"/>
        </w:rPr>
        <w:lastRenderedPageBreak/>
        <w:t>reports, interim reports, details of our constructive dialogues, and previous concluding observations by the CEDAW Committee are available on the website.</w:t>
      </w:r>
    </w:p>
    <w:p w14:paraId="0195573D" w14:textId="48C8572A" w:rsidR="00910553" w:rsidRDefault="00910553" w:rsidP="00F51043">
      <w:pPr>
        <w:jc w:val="both"/>
        <w:rPr>
          <w:color w:val="000000"/>
        </w:rPr>
      </w:pPr>
    </w:p>
    <w:p w14:paraId="165A88A4" w14:textId="77777777" w:rsidR="00544CA9" w:rsidRDefault="00544CA9">
      <w:pPr>
        <w:spacing w:line="259" w:lineRule="auto"/>
        <w:rPr>
          <w:rFonts w:asciiTheme="majorHAnsi" w:eastAsiaTheme="majorEastAsia" w:hAnsiTheme="majorHAnsi" w:cstheme="majorBidi"/>
          <w:b/>
          <w:bCs/>
          <w:color w:val="2F5496" w:themeColor="accent1" w:themeShade="BF"/>
          <w:sz w:val="32"/>
          <w:szCs w:val="32"/>
          <w:u w:val="single"/>
        </w:rPr>
      </w:pPr>
      <w:r>
        <w:rPr>
          <w:b/>
          <w:bCs/>
          <w:u w:val="single"/>
        </w:rPr>
        <w:br w:type="page"/>
      </w:r>
    </w:p>
    <w:p w14:paraId="25DB8982" w14:textId="32EBAD0D" w:rsidR="6B47BC25" w:rsidRPr="002B22E7" w:rsidRDefault="6B47BC25" w:rsidP="00EA1097">
      <w:pPr>
        <w:pStyle w:val="Heading1"/>
        <w:rPr>
          <w:b/>
          <w:bCs/>
          <w:sz w:val="40"/>
          <w:szCs w:val="40"/>
          <w:u w:val="single"/>
        </w:rPr>
      </w:pPr>
      <w:bookmarkStart w:id="44" w:name="_Toc169709904"/>
      <w:r w:rsidRPr="002B22E7">
        <w:rPr>
          <w:b/>
          <w:bCs/>
          <w:sz w:val="40"/>
          <w:szCs w:val="40"/>
          <w:u w:val="single"/>
        </w:rPr>
        <w:lastRenderedPageBreak/>
        <w:t xml:space="preserve">Section Five: </w:t>
      </w:r>
      <w:r w:rsidR="4CE05DCF" w:rsidRPr="002B22E7">
        <w:rPr>
          <w:b/>
          <w:bCs/>
          <w:sz w:val="40"/>
          <w:szCs w:val="40"/>
          <w:u w:val="single"/>
        </w:rPr>
        <w:t>D</w:t>
      </w:r>
      <w:r w:rsidRPr="002B22E7">
        <w:rPr>
          <w:b/>
          <w:bCs/>
          <w:sz w:val="40"/>
          <w:szCs w:val="40"/>
          <w:u w:val="single"/>
        </w:rPr>
        <w:t xml:space="preserve">ata </w:t>
      </w:r>
      <w:r w:rsidR="359423D7" w:rsidRPr="002B22E7">
        <w:rPr>
          <w:b/>
          <w:bCs/>
          <w:sz w:val="40"/>
          <w:szCs w:val="40"/>
          <w:u w:val="single"/>
        </w:rPr>
        <w:t>and statistics</w:t>
      </w:r>
      <w:bookmarkEnd w:id="44"/>
    </w:p>
    <w:p w14:paraId="0A5A66F8" w14:textId="33AF479C" w:rsidR="0D4AE152" w:rsidRPr="00D161BD" w:rsidRDefault="002B22E7" w:rsidP="004E5708">
      <w:pPr>
        <w:pStyle w:val="Heading3"/>
        <w:rPr>
          <w:b/>
          <w:u w:val="single"/>
        </w:rPr>
      </w:pPr>
      <w:bookmarkStart w:id="45" w:name="_Toc169709905"/>
      <w:r w:rsidRPr="00D161BD">
        <w:rPr>
          <w:b/>
        </w:rPr>
        <w:t>A.</w:t>
      </w:r>
      <w:r w:rsidRPr="00D161BD">
        <w:rPr>
          <w:b/>
        </w:rPr>
        <w:tab/>
      </w:r>
      <w:r w:rsidR="005E613E">
        <w:rPr>
          <w:b/>
          <w:u w:val="single"/>
        </w:rPr>
        <w:t>Progress in</w:t>
      </w:r>
      <w:r w:rsidR="0D4AE152" w:rsidRPr="00D161BD">
        <w:rPr>
          <w:b/>
          <w:u w:val="single"/>
        </w:rPr>
        <w:t xml:space="preserve"> </w:t>
      </w:r>
      <w:r w:rsidR="005E613E">
        <w:rPr>
          <w:b/>
          <w:u w:val="single"/>
        </w:rPr>
        <w:t>G</w:t>
      </w:r>
      <w:r w:rsidR="0D4AE152" w:rsidRPr="00D161BD">
        <w:rPr>
          <w:b/>
          <w:u w:val="single"/>
        </w:rPr>
        <w:t xml:space="preserve">ender </w:t>
      </w:r>
      <w:r w:rsidR="005E613E">
        <w:rPr>
          <w:b/>
          <w:u w:val="single"/>
        </w:rPr>
        <w:t>S</w:t>
      </w:r>
      <w:r w:rsidR="0D4AE152" w:rsidRPr="00D161BD">
        <w:rPr>
          <w:b/>
          <w:u w:val="single"/>
        </w:rPr>
        <w:t>tatistics</w:t>
      </w:r>
      <w:bookmarkEnd w:id="45"/>
    </w:p>
    <w:p w14:paraId="05BE42A2" w14:textId="5E7FD770" w:rsidR="00857D0F" w:rsidRDefault="00D50DB3" w:rsidP="00F51043">
      <w:pPr>
        <w:jc w:val="both"/>
      </w:pPr>
      <w:r>
        <w:t>T</w:t>
      </w:r>
      <w:r w:rsidRPr="00D50DB3">
        <w:t xml:space="preserve">he Government ministries and public sector agencies coordinate and implement initiatives under their purview to better address the needs of women. This includes data collection, disaggregated by sex, age, and ethnicity. Currently, such data is widely available in the statistics published by the Department of Statistics, such as the Census of Population 2020, including various demographic and socio-economic topics such as highest qualification attained, literacy, economic characteristics and difficulty in performing basic activity. </w:t>
      </w:r>
    </w:p>
    <w:p w14:paraId="4D7EA2BC" w14:textId="67C1273B" w:rsidR="00024328" w:rsidRDefault="00024328" w:rsidP="00406629">
      <w:pPr>
        <w:jc w:val="both"/>
      </w:pPr>
      <w:r>
        <w:t>We use a variety of quantitative and qualitative national indicators to monitor and ensure that the specific needs of women are met, including their health, employment, and retirement needs. These include annual national surveys, such as the National Population Health Survey.</w:t>
      </w:r>
    </w:p>
    <w:p w14:paraId="0E35D38D" w14:textId="7D181120" w:rsidR="00024328" w:rsidRPr="00115DC7" w:rsidRDefault="00024328" w:rsidP="00406629">
      <w:pPr>
        <w:pStyle w:val="ListParagraph"/>
        <w:ind w:left="0"/>
        <w:jc w:val="both"/>
      </w:pPr>
      <w:r>
        <w:t>The Government also conducts focused studies into areas of interest, such as the ongoing Retirement and Health Study and the national engagement sessions as part of Healthier SG, 2023 Action Plan for Successful Ageing and the Forward Singapore exercise. These areas include providing opportunities for Singaporeans to age actively and better supporting their care needs. Recommendations were carefully studied by the Government, with findings and reports from these studies made publicly available.</w:t>
      </w:r>
    </w:p>
    <w:p w14:paraId="39D50D39" w14:textId="77777777" w:rsidR="00857D0F" w:rsidRPr="00115DC7" w:rsidRDefault="00857D0F" w:rsidP="00D50DB3"/>
    <w:p w14:paraId="6D8EB16C" w14:textId="4E33971D" w:rsidR="0D4AE152" w:rsidRPr="00D161BD" w:rsidRDefault="002B22E7" w:rsidP="004E5708">
      <w:pPr>
        <w:pStyle w:val="Heading3"/>
        <w:rPr>
          <w:b/>
          <w:u w:val="single"/>
        </w:rPr>
      </w:pPr>
      <w:bookmarkStart w:id="46" w:name="_Toc169709906"/>
      <w:r w:rsidRPr="00D161BD">
        <w:rPr>
          <w:b/>
        </w:rPr>
        <w:t>B.</w:t>
      </w:r>
      <w:r w:rsidRPr="00D161BD">
        <w:rPr>
          <w:b/>
        </w:rPr>
        <w:tab/>
      </w:r>
      <w:r w:rsidR="0D4AE152" w:rsidRPr="00D161BD">
        <w:rPr>
          <w:b/>
          <w:u w:val="single"/>
        </w:rPr>
        <w:t xml:space="preserve">Priorities for </w:t>
      </w:r>
      <w:r w:rsidR="00CA5403">
        <w:rPr>
          <w:b/>
          <w:u w:val="single"/>
        </w:rPr>
        <w:t>S</w:t>
      </w:r>
      <w:r w:rsidR="0D4AE152" w:rsidRPr="00D161BD">
        <w:rPr>
          <w:b/>
          <w:u w:val="single"/>
        </w:rPr>
        <w:t xml:space="preserve">trengthening </w:t>
      </w:r>
      <w:r w:rsidR="00CA5403">
        <w:rPr>
          <w:b/>
          <w:u w:val="single"/>
        </w:rPr>
        <w:t>N</w:t>
      </w:r>
      <w:r w:rsidR="0D4AE152" w:rsidRPr="00D161BD">
        <w:rPr>
          <w:b/>
          <w:u w:val="single"/>
        </w:rPr>
        <w:t xml:space="preserve">ational </w:t>
      </w:r>
      <w:r w:rsidR="00CA5403">
        <w:rPr>
          <w:b/>
          <w:u w:val="single"/>
        </w:rPr>
        <w:t>G</w:t>
      </w:r>
      <w:r w:rsidR="0D4AE152" w:rsidRPr="00D161BD">
        <w:rPr>
          <w:b/>
          <w:u w:val="single"/>
        </w:rPr>
        <w:t xml:space="preserve">ender </w:t>
      </w:r>
      <w:r w:rsidR="00CA5403">
        <w:rPr>
          <w:b/>
          <w:u w:val="single"/>
        </w:rPr>
        <w:t>S</w:t>
      </w:r>
      <w:r w:rsidR="0D4AE152" w:rsidRPr="00D161BD">
        <w:rPr>
          <w:b/>
          <w:u w:val="single"/>
        </w:rPr>
        <w:t>tatistics</w:t>
      </w:r>
      <w:r w:rsidR="001E784C" w:rsidRPr="00D161BD">
        <w:rPr>
          <w:b/>
          <w:u w:val="single"/>
        </w:rPr>
        <w:t xml:space="preserve"> </w:t>
      </w:r>
      <w:r w:rsidR="00CA5403">
        <w:rPr>
          <w:b/>
          <w:u w:val="single"/>
        </w:rPr>
        <w:t>O</w:t>
      </w:r>
      <w:r w:rsidR="001E784C" w:rsidRPr="00D161BD">
        <w:rPr>
          <w:b/>
          <w:u w:val="single"/>
        </w:rPr>
        <w:t xml:space="preserve">ver </w:t>
      </w:r>
      <w:r w:rsidR="00CA5403">
        <w:rPr>
          <w:b/>
          <w:u w:val="single"/>
        </w:rPr>
        <w:t>N</w:t>
      </w:r>
      <w:r w:rsidR="001E784C" w:rsidRPr="00D161BD">
        <w:rPr>
          <w:b/>
          <w:u w:val="single"/>
        </w:rPr>
        <w:t xml:space="preserve">ext </w:t>
      </w:r>
      <w:r w:rsidR="00CA5403">
        <w:rPr>
          <w:b/>
          <w:u w:val="single"/>
        </w:rPr>
        <w:t>F</w:t>
      </w:r>
      <w:r w:rsidR="001E784C" w:rsidRPr="00D161BD">
        <w:rPr>
          <w:b/>
          <w:u w:val="single"/>
        </w:rPr>
        <w:t xml:space="preserve">ive </w:t>
      </w:r>
      <w:r w:rsidR="00CA5403">
        <w:rPr>
          <w:b/>
          <w:u w:val="single"/>
        </w:rPr>
        <w:t>Y</w:t>
      </w:r>
      <w:r w:rsidR="001E784C" w:rsidRPr="00D161BD">
        <w:rPr>
          <w:b/>
          <w:u w:val="single"/>
        </w:rPr>
        <w:t>ears</w:t>
      </w:r>
      <w:bookmarkEnd w:id="46"/>
    </w:p>
    <w:p w14:paraId="25187F7B" w14:textId="08428705" w:rsidR="00B300D9" w:rsidRDefault="00351238" w:rsidP="00F51043">
      <w:pPr>
        <w:jc w:val="both"/>
      </w:pPr>
      <w:r>
        <w:t xml:space="preserve">We </w:t>
      </w:r>
      <w:r w:rsidR="00221735">
        <w:t>will continue to prioritise the five key areas highlighted in Section T</w:t>
      </w:r>
      <w:r w:rsidR="00CB1E2C">
        <w:t>w</w:t>
      </w:r>
      <w:r w:rsidR="00221735">
        <w:t>o</w:t>
      </w:r>
      <w:r w:rsidR="00CB1E2C">
        <w:t xml:space="preserve"> earlier. Specifically, we will step up on efforts to examine statistics that track mindset shifts</w:t>
      </w:r>
      <w:r w:rsidR="00A71650">
        <w:t>.</w:t>
      </w:r>
      <w:r w:rsidR="0001651F">
        <w:t xml:space="preserve"> M</w:t>
      </w:r>
      <w:r w:rsidR="0001651F" w:rsidRPr="0001651F">
        <w:t>indset shifts in society as the foundational factor undergirding the progress of Singapore women. While Singapore has achieved good progress in women’s development, traditional gender stereotypes hinder women’s further advancement.</w:t>
      </w:r>
    </w:p>
    <w:p w14:paraId="5577D3DC" w14:textId="48C65C19" w:rsidR="002B2912" w:rsidRDefault="00CE6063" w:rsidP="00F51043">
      <w:pPr>
        <w:jc w:val="both"/>
      </w:pPr>
      <w:r>
        <w:t>We</w:t>
      </w:r>
      <w:r w:rsidR="005C6BC5">
        <w:t xml:space="preserve"> </w:t>
      </w:r>
      <w:r w:rsidR="00AE61B1">
        <w:t>will also track statistics around</w:t>
      </w:r>
      <w:r w:rsidR="000E6BA7">
        <w:t xml:space="preserve"> women’s participation in the workplace and online harms</w:t>
      </w:r>
      <w:r w:rsidR="00F2681C">
        <w:t xml:space="preserve"> which have emerged as a new form of threat to women’s safety. </w:t>
      </w:r>
      <w:r w:rsidR="00CE3E8F">
        <w:t>Singapore women enjoy equal opportunities in the workplace today</w:t>
      </w:r>
      <w:r w:rsidR="006F3108">
        <w:t xml:space="preserve">, and </w:t>
      </w:r>
      <w:r w:rsidR="003704B7">
        <w:t xml:space="preserve">the Government </w:t>
      </w:r>
      <w:r w:rsidR="00692B65">
        <w:t>is committed</w:t>
      </w:r>
      <w:r w:rsidR="006F3108">
        <w:t xml:space="preserve"> to </w:t>
      </w:r>
      <w:r w:rsidR="00692B65">
        <w:t>continue empowering</w:t>
      </w:r>
      <w:r w:rsidR="006F3108">
        <w:t xml:space="preserve"> </w:t>
      </w:r>
      <w:r w:rsidR="00F5494D">
        <w:t>them to</w:t>
      </w:r>
      <w:r w:rsidR="00366176">
        <w:t xml:space="preserve"> enter and remain in the workforce while managing both work and personal commitments. </w:t>
      </w:r>
      <w:r w:rsidR="00692B65">
        <w:t>The Government also recognises the growing concerns on online harms</w:t>
      </w:r>
      <w:r w:rsidR="003926AC">
        <w:t xml:space="preserve"> and will continue to </w:t>
      </w:r>
      <w:r w:rsidR="00B50843">
        <w:t xml:space="preserve">tackle the issue of online safety and protect victims. </w:t>
      </w:r>
    </w:p>
    <w:p w14:paraId="4E00AEA1" w14:textId="77777777" w:rsidR="005E613E" w:rsidRDefault="005E613E" w:rsidP="00F51043">
      <w:pPr>
        <w:jc w:val="both"/>
      </w:pPr>
    </w:p>
    <w:p w14:paraId="18F0C2FD" w14:textId="2568F516" w:rsidR="6778C74D" w:rsidRPr="00D161BD" w:rsidRDefault="002B22E7" w:rsidP="004E5708">
      <w:pPr>
        <w:pStyle w:val="Heading3"/>
        <w:spacing w:line="480" w:lineRule="auto"/>
        <w:rPr>
          <w:b/>
          <w:u w:val="single"/>
        </w:rPr>
      </w:pPr>
      <w:bookmarkStart w:id="47" w:name="_Toc169709907"/>
      <w:r w:rsidRPr="00D161BD">
        <w:rPr>
          <w:b/>
        </w:rPr>
        <w:t>C.</w:t>
      </w:r>
      <w:r w:rsidRPr="00D161BD">
        <w:rPr>
          <w:b/>
        </w:rPr>
        <w:tab/>
      </w:r>
      <w:r w:rsidR="0D4AE152" w:rsidRPr="00D161BD">
        <w:rPr>
          <w:b/>
          <w:u w:val="single"/>
        </w:rPr>
        <w:t>Gender-</w:t>
      </w:r>
      <w:r w:rsidR="00CA5403">
        <w:rPr>
          <w:b/>
          <w:u w:val="single"/>
        </w:rPr>
        <w:t>S</w:t>
      </w:r>
      <w:r w:rsidR="0D4AE152" w:rsidRPr="00D161BD">
        <w:rPr>
          <w:b/>
          <w:u w:val="single"/>
        </w:rPr>
        <w:t xml:space="preserve">pecific </w:t>
      </w:r>
      <w:r w:rsidR="00CA5403">
        <w:rPr>
          <w:b/>
          <w:u w:val="single"/>
        </w:rPr>
        <w:t>I</w:t>
      </w:r>
      <w:r w:rsidR="0D4AE152" w:rsidRPr="00D161BD">
        <w:rPr>
          <w:b/>
          <w:u w:val="single"/>
        </w:rPr>
        <w:t>ndicators</w:t>
      </w:r>
      <w:r w:rsidR="00037CCD" w:rsidRPr="00D161BD">
        <w:rPr>
          <w:b/>
          <w:u w:val="single"/>
        </w:rPr>
        <w:t xml:space="preserve"> that Singapore</w:t>
      </w:r>
      <w:r w:rsidR="0D4AE152" w:rsidRPr="00D161BD">
        <w:rPr>
          <w:b/>
          <w:u w:val="single"/>
        </w:rPr>
        <w:t xml:space="preserve"> </w:t>
      </w:r>
      <w:r w:rsidR="00CA5403">
        <w:rPr>
          <w:b/>
          <w:u w:val="single"/>
        </w:rPr>
        <w:t>P</w:t>
      </w:r>
      <w:r w:rsidR="0D4AE152" w:rsidRPr="00D161BD">
        <w:rPr>
          <w:b/>
          <w:u w:val="single"/>
        </w:rPr>
        <w:t xml:space="preserve">rioritised for </w:t>
      </w:r>
      <w:r w:rsidR="00CA5403">
        <w:rPr>
          <w:b/>
          <w:u w:val="single"/>
        </w:rPr>
        <w:t>M</w:t>
      </w:r>
      <w:r w:rsidR="0D4AE152" w:rsidRPr="00D161BD">
        <w:rPr>
          <w:b/>
          <w:u w:val="single"/>
        </w:rPr>
        <w:t xml:space="preserve">onitoring </w:t>
      </w:r>
      <w:r w:rsidR="00CA5403">
        <w:rPr>
          <w:b/>
          <w:u w:val="single"/>
        </w:rPr>
        <w:t>P</w:t>
      </w:r>
      <w:r w:rsidR="0D4AE152" w:rsidRPr="00D161BD">
        <w:rPr>
          <w:b/>
          <w:u w:val="single"/>
        </w:rPr>
        <w:t>rogress on SDGs</w:t>
      </w:r>
      <w:bookmarkEnd w:id="47"/>
    </w:p>
    <w:p w14:paraId="2D119B14" w14:textId="1FF6D441" w:rsidR="003B060E" w:rsidRPr="00875A10" w:rsidRDefault="00115DC7" w:rsidP="00875A10">
      <w:pPr>
        <w:spacing w:line="259" w:lineRule="auto"/>
        <w:jc w:val="both"/>
        <w:rPr>
          <w:rFonts w:cs="Arial"/>
        </w:rPr>
      </w:pPr>
      <w:r w:rsidRPr="00875A10">
        <w:rPr>
          <w:rFonts w:cs="Arial"/>
          <w:lang w:eastAsia="en-SG"/>
        </w:rPr>
        <w:t xml:space="preserve">Singapore is committed to </w:t>
      </w:r>
      <w:r w:rsidRPr="00875A10">
        <w:rPr>
          <w:rFonts w:cs="Arial"/>
          <w14:ligatures w14:val="standardContextual"/>
        </w:rPr>
        <w:t>the implementation of the 2030 Agenda for Sustainable Development and the 17 Sustainable Development Goals (SDGs) to achieve sustainable and inclusive development for our citizens</w:t>
      </w:r>
      <w:r w:rsidRPr="00875A10">
        <w:rPr>
          <w:rFonts w:cs="Arial"/>
        </w:rPr>
        <w:t xml:space="preserve">. </w:t>
      </w:r>
      <w:r w:rsidR="003B060E" w:rsidRPr="00875A10">
        <w:rPr>
          <w:rFonts w:cs="Arial"/>
        </w:rPr>
        <w:t xml:space="preserve">We submitted our Voluntary National Review in 2023. </w:t>
      </w:r>
      <w:r w:rsidR="00875A10" w:rsidRPr="00875A10">
        <w:rPr>
          <w:rFonts w:cs="Arial"/>
        </w:rPr>
        <w:t xml:space="preserve">An inter-ministry committee on SDGs comprising 33 government ministries and agencies tracks our progress of the SDGs. Singapore’s statistics on SDG targets and indicators are published on the </w:t>
      </w:r>
      <w:proofErr w:type="spellStart"/>
      <w:r w:rsidR="000E39ED" w:rsidRPr="00875A10">
        <w:rPr>
          <w:rFonts w:cs="Arial"/>
        </w:rPr>
        <w:t>Sing</w:t>
      </w:r>
      <w:r w:rsidR="000E39ED">
        <w:rPr>
          <w:rFonts w:cs="Arial"/>
        </w:rPr>
        <w:t>S</w:t>
      </w:r>
      <w:r w:rsidR="000E39ED" w:rsidRPr="00875A10">
        <w:rPr>
          <w:rFonts w:cs="Arial"/>
        </w:rPr>
        <w:t>tat</w:t>
      </w:r>
      <w:proofErr w:type="spellEnd"/>
      <w:r w:rsidR="000E39ED" w:rsidRPr="00875A10">
        <w:rPr>
          <w:rFonts w:cs="Arial"/>
        </w:rPr>
        <w:t xml:space="preserve"> </w:t>
      </w:r>
      <w:r w:rsidR="00875A10" w:rsidRPr="00875A10">
        <w:rPr>
          <w:rFonts w:cs="Arial"/>
        </w:rPr>
        <w:t xml:space="preserve">Website and are updated </w:t>
      </w:r>
      <w:r w:rsidR="00B61E39">
        <w:rPr>
          <w:rFonts w:cs="Arial"/>
        </w:rPr>
        <w:t>regularly</w:t>
      </w:r>
      <w:r w:rsidR="00875A10" w:rsidRPr="00875A10">
        <w:rPr>
          <w:rFonts w:cs="Arial"/>
        </w:rPr>
        <w:t>.</w:t>
      </w:r>
      <w:r w:rsidR="00875A10">
        <w:rPr>
          <w:rFonts w:cs="Arial"/>
        </w:rPr>
        <w:t xml:space="preserve"> </w:t>
      </w:r>
      <w:r w:rsidR="00B61E39">
        <w:rPr>
          <w:rFonts w:cs="Arial"/>
        </w:rPr>
        <w:t>Among the 248 indicators from the UN SDG Global Indicators Framework,</w:t>
      </w:r>
      <w:r w:rsidR="00875A10">
        <w:rPr>
          <w:rFonts w:cs="Arial"/>
        </w:rPr>
        <w:t xml:space="preserve"> </w:t>
      </w:r>
      <w:r w:rsidR="00652E60" w:rsidRPr="37B14EAF">
        <w:rPr>
          <w:rFonts w:cs="Arial"/>
        </w:rPr>
        <w:t>some are reported using alternative proxy indicators, including gender breakdown where relevant and available</w:t>
      </w:r>
      <w:r w:rsidR="00A33B51" w:rsidRPr="37B14EAF">
        <w:rPr>
          <w:rFonts w:cs="Arial"/>
        </w:rPr>
        <w:t>.</w:t>
      </w:r>
    </w:p>
    <w:p w14:paraId="38D8C7B4" w14:textId="3D946C5D" w:rsidR="003B060E" w:rsidRPr="00115DC7" w:rsidRDefault="003B060E" w:rsidP="00F51043">
      <w:pPr>
        <w:spacing w:line="259" w:lineRule="auto"/>
        <w:jc w:val="both"/>
        <w:rPr>
          <w:rFonts w:cs="Arial"/>
        </w:rPr>
      </w:pPr>
      <w:r>
        <w:rPr>
          <w:rFonts w:cs="Arial"/>
        </w:rPr>
        <w:t xml:space="preserve"> </w:t>
      </w:r>
    </w:p>
    <w:p w14:paraId="5D94CFD7" w14:textId="77777777" w:rsidR="00BF3A1D" w:rsidRDefault="00BF3A1D" w:rsidP="00BF3A1D">
      <w:pPr>
        <w:ind w:left="360"/>
      </w:pPr>
    </w:p>
    <w:p w14:paraId="5312EBDA" w14:textId="038EE211" w:rsidR="7CF92ED1" w:rsidRPr="009332A8" w:rsidRDefault="002B22E7" w:rsidP="00417E2E">
      <w:pPr>
        <w:pStyle w:val="Heading3"/>
        <w:rPr>
          <w:b/>
          <w:bCs/>
          <w:u w:val="single"/>
        </w:rPr>
      </w:pPr>
      <w:bookmarkStart w:id="48" w:name="_Toc169709908"/>
      <w:r>
        <w:rPr>
          <w:b/>
          <w:bCs/>
        </w:rPr>
        <w:t>D.</w:t>
      </w:r>
      <w:r>
        <w:rPr>
          <w:b/>
          <w:bCs/>
        </w:rPr>
        <w:tab/>
      </w:r>
      <w:r w:rsidR="0D4AE152" w:rsidRPr="009332A8">
        <w:rPr>
          <w:b/>
          <w:bCs/>
          <w:u w:val="single"/>
        </w:rPr>
        <w:t xml:space="preserve">Data </w:t>
      </w:r>
      <w:r w:rsidR="002D3595">
        <w:rPr>
          <w:b/>
          <w:bCs/>
          <w:u w:val="single"/>
        </w:rPr>
        <w:t>D</w:t>
      </w:r>
      <w:r w:rsidR="2150DA1B" w:rsidRPr="009332A8">
        <w:rPr>
          <w:b/>
          <w:bCs/>
          <w:u w:val="single"/>
        </w:rPr>
        <w:t>isaggregation</w:t>
      </w:r>
      <w:r w:rsidR="0D4AE152" w:rsidRPr="009332A8">
        <w:rPr>
          <w:b/>
          <w:bCs/>
          <w:u w:val="single"/>
        </w:rPr>
        <w:t xml:space="preserve"> in </w:t>
      </w:r>
      <w:r w:rsidR="002D3595">
        <w:rPr>
          <w:b/>
          <w:bCs/>
          <w:u w:val="single"/>
        </w:rPr>
        <w:t>M</w:t>
      </w:r>
      <w:r w:rsidR="0D4AE152" w:rsidRPr="009332A8">
        <w:rPr>
          <w:b/>
          <w:bCs/>
          <w:u w:val="single"/>
        </w:rPr>
        <w:t xml:space="preserve">ajor </w:t>
      </w:r>
      <w:r w:rsidR="002D3595">
        <w:rPr>
          <w:b/>
          <w:bCs/>
          <w:u w:val="single"/>
        </w:rPr>
        <w:t>S</w:t>
      </w:r>
      <w:r w:rsidR="0D4AE152" w:rsidRPr="009332A8">
        <w:rPr>
          <w:b/>
          <w:bCs/>
          <w:u w:val="single"/>
        </w:rPr>
        <w:t>urveys in Singapore</w:t>
      </w:r>
      <w:bookmarkEnd w:id="48"/>
      <w:r w:rsidR="0D4AE152" w:rsidRPr="009332A8">
        <w:rPr>
          <w:b/>
          <w:bCs/>
          <w:u w:val="single"/>
        </w:rPr>
        <w:t xml:space="preserve"> </w:t>
      </w:r>
    </w:p>
    <w:p w14:paraId="6469E992" w14:textId="4AA9DC4C" w:rsidR="00B40909" w:rsidRDefault="0030580B" w:rsidP="00F51043">
      <w:pPr>
        <w:tabs>
          <w:tab w:val="left" w:pos="1414"/>
        </w:tabs>
        <w:spacing w:before="120" w:after="120" w:line="240" w:lineRule="auto"/>
        <w:contextualSpacing/>
        <w:jc w:val="both"/>
        <w:rPr>
          <w:rFonts w:cs="Arial"/>
          <w:lang w:eastAsia="en-SG"/>
        </w:rPr>
      </w:pPr>
      <w:r>
        <w:rPr>
          <w:rFonts w:cs="Arial"/>
          <w:lang w:eastAsia="en-SG"/>
        </w:rPr>
        <w:t>In Singapore, w</w:t>
      </w:r>
      <w:r w:rsidRPr="00947B92">
        <w:rPr>
          <w:rFonts w:cs="Arial"/>
          <w:lang w:eastAsia="en-SG"/>
        </w:rPr>
        <w:t>e coordinate efforts across</w:t>
      </w:r>
      <w:r>
        <w:rPr>
          <w:rFonts w:cs="Arial"/>
          <w:lang w:eastAsia="en-SG"/>
        </w:rPr>
        <w:t xml:space="preserve"> the</w:t>
      </w:r>
      <w:r w:rsidRPr="00947B92">
        <w:rPr>
          <w:rFonts w:cs="Arial"/>
          <w:lang w:eastAsia="en-SG"/>
        </w:rPr>
        <w:t xml:space="preserve"> </w:t>
      </w:r>
      <w:r w:rsidR="005E6D7B">
        <w:rPr>
          <w:rFonts w:cs="Arial"/>
          <w:lang w:eastAsia="en-SG"/>
        </w:rPr>
        <w:t>W</w:t>
      </w:r>
      <w:r w:rsidRPr="00947B92">
        <w:rPr>
          <w:rFonts w:cs="Arial"/>
          <w:lang w:eastAsia="en-SG"/>
        </w:rPr>
        <w:t>hole-of-</w:t>
      </w:r>
      <w:r w:rsidR="005E6D7B">
        <w:rPr>
          <w:rFonts w:cs="Arial"/>
          <w:lang w:eastAsia="en-SG"/>
        </w:rPr>
        <w:t>G</w:t>
      </w:r>
      <w:r w:rsidRPr="00947B92">
        <w:rPr>
          <w:rFonts w:cs="Arial"/>
          <w:lang w:eastAsia="en-SG"/>
        </w:rPr>
        <w:t>overnment</w:t>
      </w:r>
      <w:r>
        <w:rPr>
          <w:rFonts w:cs="Arial"/>
          <w:lang w:eastAsia="en-SG"/>
        </w:rPr>
        <w:t xml:space="preserve"> to ensure that</w:t>
      </w:r>
      <w:r w:rsidRPr="00947B92">
        <w:rPr>
          <w:rFonts w:cs="Arial"/>
          <w:lang w:eastAsia="en-SG"/>
        </w:rPr>
        <w:t xml:space="preserve"> the impact of our policies on women</w:t>
      </w:r>
      <w:r>
        <w:rPr>
          <w:rFonts w:cs="Arial"/>
          <w:lang w:eastAsia="en-SG"/>
        </w:rPr>
        <w:t xml:space="preserve"> are taken into account</w:t>
      </w:r>
      <w:r w:rsidRPr="00947B92">
        <w:rPr>
          <w:rFonts w:cs="Arial"/>
          <w:lang w:eastAsia="en-SG"/>
        </w:rPr>
        <w:t xml:space="preserve"> at all levels and stages in the design, planning and deliver</w:t>
      </w:r>
      <w:r>
        <w:rPr>
          <w:rFonts w:cs="Arial"/>
          <w:lang w:eastAsia="en-SG"/>
        </w:rPr>
        <w:t>y</w:t>
      </w:r>
      <w:r w:rsidRPr="00947B92">
        <w:rPr>
          <w:rFonts w:cs="Arial"/>
          <w:lang w:eastAsia="en-SG"/>
        </w:rPr>
        <w:t xml:space="preserve"> of programmes.</w:t>
      </w:r>
    </w:p>
    <w:p w14:paraId="6C8C00B8" w14:textId="77777777" w:rsidR="00B40909" w:rsidRPr="00341FCA" w:rsidRDefault="00B40909" w:rsidP="00F51043">
      <w:pPr>
        <w:tabs>
          <w:tab w:val="left" w:pos="1414"/>
        </w:tabs>
        <w:spacing w:before="120" w:after="120" w:line="240" w:lineRule="auto"/>
        <w:contextualSpacing/>
        <w:jc w:val="both"/>
        <w:rPr>
          <w:rFonts w:cs="Arial"/>
          <w:lang w:eastAsia="en-SG"/>
        </w:rPr>
      </w:pPr>
    </w:p>
    <w:p w14:paraId="59BA8C57" w14:textId="721ACE3B" w:rsidR="0030580B" w:rsidRPr="00341FCA" w:rsidRDefault="0030580B" w:rsidP="00F51043">
      <w:pPr>
        <w:tabs>
          <w:tab w:val="left" w:pos="1414"/>
        </w:tabs>
        <w:spacing w:before="120" w:after="120" w:line="259" w:lineRule="auto"/>
        <w:jc w:val="both"/>
        <w:rPr>
          <w:rFonts w:cs="Arial"/>
          <w:lang w:eastAsia="en-SG"/>
        </w:rPr>
      </w:pPr>
      <w:r w:rsidRPr="00341FCA">
        <w:rPr>
          <w:rFonts w:cs="Arial"/>
          <w:lang w:eastAsia="en-SG"/>
        </w:rPr>
        <w:t xml:space="preserve">National indicators are used to identify the specific needs of women, and to ensure that these needs are met. Some key relevant indicators include the health, employment and retirement needs of women. Data for these indicators are collected through various channels, including annual national surveys, such as the Comprehensive Labour Force Survey and the National Population Health Survey. </w:t>
      </w:r>
    </w:p>
    <w:p w14:paraId="64A6CAE8" w14:textId="77777777" w:rsidR="0030580B" w:rsidRPr="002F5F42" w:rsidRDefault="0030580B" w:rsidP="00F51043">
      <w:pPr>
        <w:tabs>
          <w:tab w:val="left" w:pos="1414"/>
        </w:tabs>
        <w:spacing w:before="120" w:after="120" w:line="259" w:lineRule="auto"/>
        <w:jc w:val="both"/>
      </w:pPr>
      <w:r w:rsidRPr="00341FCA">
        <w:rPr>
          <w:rFonts w:cs="Arial"/>
          <w:lang w:eastAsia="en-SG"/>
        </w:rPr>
        <w:t xml:space="preserve">Furthermore, in drafting the White Paper on Singapore Women’s Development, the Government coordinated efforts across various Ministries and agencies to introduce and review policies, and enhance resources that will better support the aspirations of Singapore women. </w:t>
      </w:r>
    </w:p>
    <w:p w14:paraId="20970CBA" w14:textId="77777777" w:rsidR="00B40909" w:rsidRDefault="00B40909" w:rsidP="00F51043">
      <w:pPr>
        <w:tabs>
          <w:tab w:val="left" w:pos="1414"/>
        </w:tabs>
        <w:spacing w:before="120" w:after="120" w:line="240" w:lineRule="auto"/>
        <w:contextualSpacing/>
        <w:jc w:val="both"/>
        <w:rPr>
          <w:rFonts w:cs="Arial"/>
          <w:lang w:eastAsia="en-SG"/>
        </w:rPr>
      </w:pPr>
      <w:r>
        <w:rPr>
          <w:rFonts w:cs="Arial"/>
          <w:lang w:eastAsia="en-SG"/>
        </w:rPr>
        <w:t>Singapore</w:t>
      </w:r>
      <w:r w:rsidRPr="00341FCA">
        <w:rPr>
          <w:rFonts w:cs="Arial"/>
          <w:lang w:eastAsia="en-SG"/>
        </w:rPr>
        <w:t xml:space="preserve"> will continue to take a data-driven approach in the design of our policies and measure their outcomes. </w:t>
      </w:r>
      <w:r>
        <w:rPr>
          <w:rFonts w:cs="Arial"/>
          <w:lang w:eastAsia="en-SG"/>
        </w:rPr>
        <w:t>Singapore</w:t>
      </w:r>
      <w:r w:rsidRPr="00341FCA">
        <w:rPr>
          <w:rFonts w:cs="Arial"/>
          <w:lang w:eastAsia="en-SG"/>
        </w:rPr>
        <w:t xml:space="preserve"> will also regularly publish relevant data for transparency and to ensure that our policies are relevant and appropriate for women.</w:t>
      </w:r>
    </w:p>
    <w:p w14:paraId="2909CE19" w14:textId="6578FD51" w:rsidR="01094C8F" w:rsidRPr="00B40909" w:rsidRDefault="01094C8F" w:rsidP="00F51043">
      <w:pPr>
        <w:jc w:val="both"/>
      </w:pPr>
    </w:p>
    <w:p w14:paraId="662AFE5D" w14:textId="77777777" w:rsidR="004F5FF2" w:rsidRDefault="004F5FF2">
      <w:pPr>
        <w:spacing w:line="259" w:lineRule="auto"/>
        <w:rPr>
          <w:rFonts w:asciiTheme="majorHAnsi" w:eastAsiaTheme="majorEastAsia" w:hAnsiTheme="majorHAnsi" w:cstheme="majorBidi"/>
          <w:b/>
          <w:bCs/>
          <w:color w:val="2F5496" w:themeColor="accent1" w:themeShade="BF"/>
          <w:sz w:val="32"/>
          <w:szCs w:val="32"/>
          <w:u w:val="single"/>
        </w:rPr>
      </w:pPr>
      <w:r>
        <w:rPr>
          <w:b/>
          <w:bCs/>
          <w:u w:val="single"/>
        </w:rPr>
        <w:br w:type="page"/>
      </w:r>
    </w:p>
    <w:p w14:paraId="0EC51074" w14:textId="155482CF" w:rsidR="359423D7" w:rsidRPr="002B22E7" w:rsidRDefault="359423D7" w:rsidP="00EA1097">
      <w:pPr>
        <w:pStyle w:val="Heading1"/>
        <w:rPr>
          <w:b/>
          <w:bCs/>
          <w:sz w:val="40"/>
          <w:szCs w:val="40"/>
          <w:u w:val="single"/>
        </w:rPr>
      </w:pPr>
      <w:bookmarkStart w:id="49" w:name="_Toc169709909"/>
      <w:r w:rsidRPr="002B22E7">
        <w:rPr>
          <w:b/>
          <w:bCs/>
          <w:sz w:val="40"/>
          <w:szCs w:val="40"/>
          <w:u w:val="single"/>
        </w:rPr>
        <w:lastRenderedPageBreak/>
        <w:t xml:space="preserve">Section Six: </w:t>
      </w:r>
      <w:r w:rsidR="0879167A" w:rsidRPr="002B22E7">
        <w:rPr>
          <w:b/>
          <w:bCs/>
          <w:sz w:val="40"/>
          <w:szCs w:val="40"/>
          <w:u w:val="single"/>
        </w:rPr>
        <w:t>Conclusion and next steps</w:t>
      </w:r>
      <w:bookmarkEnd w:id="49"/>
    </w:p>
    <w:p w14:paraId="22463DA9" w14:textId="667AA02A" w:rsidR="003F44FC" w:rsidRPr="00BC7F28" w:rsidRDefault="00310AC4" w:rsidP="00F51043">
      <w:pPr>
        <w:jc w:val="both"/>
      </w:pPr>
      <w:r w:rsidRPr="00BC7F28">
        <w:t xml:space="preserve">Singapore’s key priorities in advancing our efforts in women’s development </w:t>
      </w:r>
      <w:r w:rsidR="001B4655">
        <w:t xml:space="preserve">are the implementation of the action plans in the White Paper </w:t>
      </w:r>
      <w:r w:rsidR="00E673F7" w:rsidRPr="00BC7F28">
        <w:t xml:space="preserve">and </w:t>
      </w:r>
      <w:r w:rsidR="00656FF2" w:rsidRPr="00BC7F28">
        <w:t xml:space="preserve">reviewing </w:t>
      </w:r>
      <w:r w:rsidR="00B4125E" w:rsidRPr="00BC7F28">
        <w:t>the</w:t>
      </w:r>
      <w:r w:rsidR="00E00139" w:rsidRPr="00BC7F28">
        <w:t xml:space="preserve"> CEDAW </w:t>
      </w:r>
      <w:r w:rsidR="005A70A7">
        <w:t xml:space="preserve">Committee’s </w:t>
      </w:r>
      <w:r w:rsidR="0057767C" w:rsidRPr="00BC7F28">
        <w:t>C</w:t>
      </w:r>
      <w:r w:rsidR="00E00139" w:rsidRPr="00BC7F28">
        <w:t xml:space="preserve">oncluding </w:t>
      </w:r>
      <w:r w:rsidR="0057767C" w:rsidRPr="00BC7F28">
        <w:t>O</w:t>
      </w:r>
      <w:r w:rsidR="00E00139" w:rsidRPr="00BC7F28">
        <w:t>bservations.</w:t>
      </w:r>
    </w:p>
    <w:p w14:paraId="410F96A8" w14:textId="25532377" w:rsidR="00D56399" w:rsidRPr="00BC7F28" w:rsidRDefault="000526C4" w:rsidP="00F51043">
      <w:pPr>
        <w:jc w:val="both"/>
      </w:pPr>
      <w:r w:rsidRPr="00BC7F28">
        <w:t xml:space="preserve">The </w:t>
      </w:r>
      <w:r w:rsidR="007523A1" w:rsidRPr="00BC7F28">
        <w:t xml:space="preserve">Government </w:t>
      </w:r>
      <w:r w:rsidRPr="00BC7F28">
        <w:t xml:space="preserve">will continue to review the effectiveness of </w:t>
      </w:r>
      <w:r w:rsidR="00EE62C5" w:rsidRPr="00BC7F28">
        <w:t xml:space="preserve">our </w:t>
      </w:r>
      <w:r w:rsidRPr="00BC7F28">
        <w:t>current legislation, policies,</w:t>
      </w:r>
      <w:r w:rsidR="00EE62C5" w:rsidRPr="00BC7F28">
        <w:t xml:space="preserve"> and </w:t>
      </w:r>
      <w:r w:rsidRPr="00BC7F28">
        <w:t>programmes to protect, support, and empower all women.</w:t>
      </w:r>
      <w:r w:rsidR="00D56399" w:rsidRPr="00BC7F28">
        <w:t xml:space="preserve"> We will continue to</w:t>
      </w:r>
      <w:r w:rsidR="004F70E5" w:rsidRPr="00BC7F28">
        <w:t xml:space="preserve"> work</w:t>
      </w:r>
      <w:r w:rsidR="00155E7D" w:rsidRPr="00BC7F28">
        <w:t xml:space="preserve"> closely with our stakeholders </w:t>
      </w:r>
      <w:r w:rsidR="00FD7989" w:rsidRPr="00BC7F28">
        <w:t>across the whole-of-society</w:t>
      </w:r>
      <w:r w:rsidR="00155E7D" w:rsidRPr="00BC7F28">
        <w:t xml:space="preserve"> to advance women’s rights</w:t>
      </w:r>
      <w:r w:rsidR="00FD7989" w:rsidRPr="00BC7F28">
        <w:t>, and to achieve goals set at the B</w:t>
      </w:r>
      <w:r w:rsidR="003B332A">
        <w:t>D</w:t>
      </w:r>
      <w:r w:rsidR="00A64062">
        <w:t>P</w:t>
      </w:r>
      <w:r w:rsidR="00FD7989" w:rsidRPr="00BC7F28">
        <w:t xml:space="preserve">A and to our obligations under CEDAW. </w:t>
      </w:r>
    </w:p>
    <w:p w14:paraId="225BA4E3" w14:textId="35DB5E3C" w:rsidR="00BB06E8" w:rsidRPr="00BC7F28" w:rsidRDefault="00BB06E8" w:rsidP="00F51043">
      <w:pPr>
        <w:jc w:val="both"/>
      </w:pPr>
    </w:p>
    <w:sectPr w:rsidR="00BB06E8" w:rsidRPr="00BC7F2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F9DE7" w14:textId="77777777" w:rsidR="00E53D95" w:rsidRDefault="00E53D95" w:rsidP="001F36E8">
      <w:pPr>
        <w:spacing w:after="0" w:line="240" w:lineRule="auto"/>
      </w:pPr>
      <w:r>
        <w:separator/>
      </w:r>
    </w:p>
  </w:endnote>
  <w:endnote w:type="continuationSeparator" w:id="0">
    <w:p w14:paraId="5D61537B" w14:textId="77777777" w:rsidR="00E53D95" w:rsidRDefault="00E53D95" w:rsidP="001F36E8">
      <w:pPr>
        <w:spacing w:after="0" w:line="240" w:lineRule="auto"/>
      </w:pPr>
      <w:r>
        <w:continuationSeparator/>
      </w:r>
    </w:p>
  </w:endnote>
  <w:endnote w:type="continuationNotice" w:id="1">
    <w:p w14:paraId="349FA52D" w14:textId="77777777" w:rsidR="00E53D95" w:rsidRDefault="00E53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roxima Nova">
    <w:altName w:val="Tahoma"/>
    <w:panose1 w:val="020B0604020202020204"/>
    <w:charset w:val="00"/>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eneric0-Regular">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725475"/>
      <w:docPartObj>
        <w:docPartGallery w:val="Page Numbers (Bottom of Page)"/>
        <w:docPartUnique/>
      </w:docPartObj>
    </w:sdtPr>
    <w:sdtContent>
      <w:sdt>
        <w:sdtPr>
          <w:id w:val="-1769616900"/>
          <w:docPartObj>
            <w:docPartGallery w:val="Page Numbers (Top of Page)"/>
            <w:docPartUnique/>
          </w:docPartObj>
        </w:sdtPr>
        <w:sdtContent>
          <w:p w14:paraId="54CC2AC1" w14:textId="266BA6E2" w:rsidR="0030635E" w:rsidRDefault="003063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B7D29E7" w14:textId="77777777" w:rsidR="00A91221" w:rsidRDefault="00A91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56926" w14:textId="77777777" w:rsidR="00E53D95" w:rsidRDefault="00E53D95" w:rsidP="001F36E8">
      <w:pPr>
        <w:spacing w:after="0" w:line="240" w:lineRule="auto"/>
      </w:pPr>
      <w:r>
        <w:separator/>
      </w:r>
    </w:p>
  </w:footnote>
  <w:footnote w:type="continuationSeparator" w:id="0">
    <w:p w14:paraId="4FE9F0C0" w14:textId="77777777" w:rsidR="00E53D95" w:rsidRDefault="00E53D95" w:rsidP="001F36E8">
      <w:pPr>
        <w:spacing w:after="0" w:line="240" w:lineRule="auto"/>
      </w:pPr>
      <w:r>
        <w:continuationSeparator/>
      </w:r>
    </w:p>
  </w:footnote>
  <w:footnote w:type="continuationNotice" w:id="1">
    <w:p w14:paraId="2B85E7DB" w14:textId="77777777" w:rsidR="00E53D95" w:rsidRDefault="00E53D95">
      <w:pPr>
        <w:spacing w:after="0" w:line="240" w:lineRule="auto"/>
      </w:pPr>
    </w:p>
  </w:footnote>
  <w:footnote w:id="2">
    <w:p w14:paraId="2034FA2A" w14:textId="68502539" w:rsidR="0046137B" w:rsidRDefault="0046137B" w:rsidP="00001C24">
      <w:pPr>
        <w:pStyle w:val="FootnoteText"/>
        <w:jc w:val="both"/>
      </w:pPr>
      <w:r>
        <w:rPr>
          <w:rStyle w:val="FootnoteReference"/>
        </w:rPr>
        <w:footnoteRef/>
      </w:r>
      <w:r>
        <w:t xml:space="preserve"> </w:t>
      </w:r>
      <w:r w:rsidRPr="0046137B">
        <w:rPr>
          <w:sz w:val="18"/>
          <w:szCs w:val="18"/>
        </w:rPr>
        <w:t>12 areas listed in BDPA: Women in poverty, education and training, women’s health, violence against women, women and armed conflict, women and the economy, women in power and decision making, institutional mechanisms for the advancement of women, human rights of women, women and the media, women and the environment, the girl-child, taking into consideration our national circumstances and aspirations.</w:t>
      </w:r>
      <w:r>
        <w:t xml:space="preserve"> </w:t>
      </w:r>
    </w:p>
  </w:footnote>
  <w:footnote w:id="3">
    <w:p w14:paraId="5E097CC1" w14:textId="77777777" w:rsidR="007F3F2E" w:rsidRPr="00F6260B" w:rsidRDefault="007F3F2E" w:rsidP="00703E60">
      <w:pPr>
        <w:pStyle w:val="pf0"/>
        <w:spacing w:before="0" w:beforeAutospacing="0" w:after="0" w:afterAutospacing="0"/>
        <w:jc w:val="both"/>
        <w:rPr>
          <w:rFonts w:asciiTheme="minorHAnsi" w:hAnsiTheme="minorHAnsi" w:cstheme="minorHAnsi"/>
          <w:sz w:val="20"/>
          <w:szCs w:val="20"/>
        </w:rPr>
      </w:pPr>
      <w:r w:rsidRPr="00F6260B">
        <w:rPr>
          <w:rStyle w:val="FootnoteReference"/>
          <w:rFonts w:asciiTheme="minorHAnsi" w:hAnsiTheme="minorHAnsi" w:cstheme="minorHAnsi"/>
          <w:sz w:val="20"/>
          <w:szCs w:val="20"/>
        </w:rPr>
        <w:footnoteRef/>
      </w:r>
      <w:r w:rsidRPr="00F6260B">
        <w:rPr>
          <w:rFonts w:asciiTheme="minorHAnsi" w:hAnsiTheme="minorHAnsi" w:cstheme="minorHAnsi"/>
          <w:sz w:val="20"/>
          <w:szCs w:val="20"/>
        </w:rPr>
        <w:t xml:space="preserve"> The unadjusted gender pay gap is calculated as: [1 – Median income of women/ Median income of men] x 100%. </w:t>
      </w:r>
    </w:p>
  </w:footnote>
  <w:footnote w:id="4">
    <w:p w14:paraId="2D03EB48" w14:textId="77777777" w:rsidR="007F3F2E" w:rsidRPr="008744EA" w:rsidRDefault="007F3F2E" w:rsidP="007F3F2E">
      <w:pPr>
        <w:pStyle w:val="FootnoteText"/>
        <w:rPr>
          <w:rFonts w:cstheme="minorHAnsi"/>
        </w:rPr>
      </w:pPr>
      <w:r w:rsidRPr="00F6260B">
        <w:rPr>
          <w:rStyle w:val="FootnoteReference"/>
          <w:rFonts w:cstheme="minorHAnsi"/>
        </w:rPr>
        <w:footnoteRef/>
      </w:r>
      <w:r w:rsidRPr="00F6260B">
        <w:rPr>
          <w:rFonts w:cstheme="minorHAnsi"/>
        </w:rPr>
        <w:t xml:space="preserve"> More information on the adjusted gender pay gap can be found at https://stats.mom.gov.sg/Pages/Update-on-Singapores-Adjusted-Gender-Pay-Gap.aspx.</w:t>
      </w:r>
    </w:p>
  </w:footnote>
  <w:footnote w:id="5">
    <w:p w14:paraId="4A00C432" w14:textId="77777777" w:rsidR="0019708B" w:rsidRPr="00F6260B" w:rsidRDefault="0019708B" w:rsidP="00703E60">
      <w:pPr>
        <w:pStyle w:val="pf0"/>
        <w:spacing w:before="0" w:beforeAutospacing="0" w:after="0" w:afterAutospacing="0"/>
        <w:jc w:val="both"/>
        <w:rPr>
          <w:rFonts w:asciiTheme="minorHAnsi" w:hAnsiTheme="minorHAnsi" w:cstheme="minorHAnsi"/>
          <w:sz w:val="20"/>
          <w:szCs w:val="20"/>
        </w:rPr>
      </w:pPr>
      <w:r w:rsidRPr="00F6260B">
        <w:rPr>
          <w:rStyle w:val="FootnoteReference"/>
          <w:rFonts w:asciiTheme="minorHAnsi" w:hAnsiTheme="minorHAnsi" w:cstheme="minorHAnsi"/>
          <w:sz w:val="20"/>
          <w:szCs w:val="20"/>
        </w:rPr>
        <w:footnoteRef/>
      </w:r>
      <w:r w:rsidRPr="00F6260B">
        <w:rPr>
          <w:rFonts w:asciiTheme="minorHAnsi" w:hAnsiTheme="minorHAnsi" w:cstheme="minorHAnsi"/>
          <w:sz w:val="20"/>
          <w:szCs w:val="20"/>
        </w:rPr>
        <w:t xml:space="preserve"> The unadjusted gender pay gap is calculated as: [1 – Median income of women/ Median income of men] x 100%. </w:t>
      </w:r>
    </w:p>
  </w:footnote>
  <w:footnote w:id="6">
    <w:p w14:paraId="1A73A183" w14:textId="77777777" w:rsidR="0019708B" w:rsidRPr="008744EA" w:rsidRDefault="0019708B" w:rsidP="007F3F2E">
      <w:pPr>
        <w:pStyle w:val="FootnoteText"/>
        <w:rPr>
          <w:rFonts w:cstheme="minorHAnsi"/>
        </w:rPr>
      </w:pPr>
      <w:r w:rsidRPr="00F6260B">
        <w:rPr>
          <w:rStyle w:val="FootnoteReference"/>
          <w:rFonts w:cstheme="minorHAnsi"/>
        </w:rPr>
        <w:footnoteRef/>
      </w:r>
      <w:r w:rsidRPr="00F6260B">
        <w:rPr>
          <w:rFonts w:cstheme="minorHAnsi"/>
        </w:rPr>
        <w:t xml:space="preserve"> More information on the adjusted gender pay gap can be found at https://stats.mom.gov.sg/Pages/Update-on-Singapores-Adjusted-Gender-Pay-Gap.aspx.</w:t>
      </w:r>
    </w:p>
  </w:footnote>
  <w:footnote w:id="7">
    <w:p w14:paraId="3D518C7A" w14:textId="1A454AFF" w:rsidR="00511A55" w:rsidRPr="00511A55" w:rsidRDefault="00511A55">
      <w:pPr>
        <w:pStyle w:val="FootnoteText"/>
      </w:pPr>
      <w:r>
        <w:rPr>
          <w:rStyle w:val="FootnoteReference"/>
        </w:rPr>
        <w:footnoteRef/>
      </w:r>
      <w:r>
        <w:t xml:space="preserve"> </w:t>
      </w:r>
      <w:r w:rsidRPr="00511A55">
        <w:t>Including newer forms of scheduled FWA (shift-swapping, time banking, employees’ choice of day off, and flexi-shift), the proportion was 73% in 2023. These were collected for the first time in 2022/2023.</w:t>
      </w:r>
    </w:p>
  </w:footnote>
  <w:footnote w:id="8">
    <w:p w14:paraId="26CF6152" w14:textId="66F38E84" w:rsidR="00141F51" w:rsidRPr="00D24C28" w:rsidRDefault="00141F51">
      <w:pPr>
        <w:pStyle w:val="FootnoteText"/>
      </w:pPr>
      <w:r>
        <w:rPr>
          <w:rStyle w:val="FootnoteReference"/>
        </w:rPr>
        <w:footnoteRef/>
      </w:r>
      <w:r>
        <w:t xml:space="preserve"> </w:t>
      </w:r>
      <w:r w:rsidRPr="00141F51">
        <w:t>Including newer forms of scheduled FWA (shift-swapping, time banking and employees’ choice of day off), the proportion was 88% in 2022. These were collected for the first time in 2022. 2022 is the latest available data.</w:t>
      </w:r>
    </w:p>
  </w:footnote>
  <w:footnote w:id="9">
    <w:p w14:paraId="092A5643" w14:textId="77777777" w:rsidR="006B78AA" w:rsidRPr="00646183" w:rsidRDefault="006B78AA" w:rsidP="006B78AA">
      <w:pPr>
        <w:pStyle w:val="FootnoteText"/>
        <w:rPr>
          <w:rFonts w:cstheme="minorHAnsi"/>
        </w:rPr>
      </w:pPr>
      <w:r w:rsidRPr="00D24C28">
        <w:rPr>
          <w:rStyle w:val="FootnoteReference"/>
          <w:rFonts w:eastAsia="Arial" w:cstheme="minorHAnsi"/>
        </w:rPr>
        <w:footnoteRef/>
      </w:r>
      <w:r w:rsidRPr="00D24C28">
        <w:rPr>
          <w:rFonts w:eastAsia="Arial" w:cstheme="minorHAnsi"/>
        </w:rPr>
        <w:t xml:space="preserve"> Taken from: </w:t>
      </w:r>
      <w:hyperlink r:id="rId1" w:history="1">
        <w:r w:rsidRPr="00D24C28">
          <w:rPr>
            <w:rStyle w:val="Hyperlink"/>
            <w:rFonts w:eastAsia="Arial" w:cstheme="minorHAnsi"/>
          </w:rPr>
          <w:t>https://www.straitstimes.com/business/companies-markets/singapore-posts-highest-percentage-of-women-ceos-globally-deloitte</w:t>
        </w:r>
      </w:hyperlink>
      <w:r w:rsidRPr="00D24C28">
        <w:rPr>
          <w:rFonts w:eastAsia="Arial" w:cstheme="minorHAnsi"/>
        </w:rPr>
        <w:t xml:space="preserve">  </w:t>
      </w:r>
    </w:p>
  </w:footnote>
  <w:footnote w:id="10">
    <w:p w14:paraId="5713DD72" w14:textId="77777777" w:rsidR="002D229C" w:rsidRPr="00F77162" w:rsidRDefault="002D229C" w:rsidP="002D229C">
      <w:pPr>
        <w:pStyle w:val="FootnoteText"/>
        <w:rPr>
          <w:rFonts w:cstheme="minorHAnsi"/>
          <w:highlight w:val="green"/>
        </w:rPr>
      </w:pPr>
      <w:r>
        <w:rPr>
          <w:rStyle w:val="FootnoteReference"/>
        </w:rPr>
        <w:footnoteRef/>
      </w:r>
      <w:r w:rsidRPr="00AF126D">
        <w:rPr>
          <w:rFonts w:cstheme="minorHAnsi"/>
        </w:rPr>
        <w:t xml:space="preserve"> CPF is a key pillar of Singapore’s social security system. CPF helps Singapore Citizens and Permanent Residents set aside funds for housing and healthcare to build a strong foundation for retirement. (</w:t>
      </w:r>
      <w:hyperlink r:id="rId2" w:history="1">
        <w:r w:rsidRPr="00AF126D">
          <w:rPr>
            <w:rStyle w:val="Hyperlink"/>
            <w:rFonts w:cstheme="minorHAnsi"/>
          </w:rPr>
          <w:t>CPF</w:t>
        </w:r>
      </w:hyperlink>
      <w:r w:rsidRPr="00AF126D">
        <w:rPr>
          <w:rFonts w:cstheme="minorHAnsi"/>
        </w:rPr>
        <w:t>)</w:t>
      </w:r>
    </w:p>
  </w:footnote>
  <w:footnote w:id="11">
    <w:p w14:paraId="269F376E" w14:textId="431AFCD4" w:rsidR="00303267" w:rsidRPr="00303267" w:rsidRDefault="00303267">
      <w:pPr>
        <w:pStyle w:val="FootnoteText"/>
      </w:pPr>
      <w:r>
        <w:rPr>
          <w:rStyle w:val="FootnoteReference"/>
        </w:rPr>
        <w:footnoteRef/>
      </w:r>
      <w:r>
        <w:t xml:space="preserve"> </w:t>
      </w:r>
      <w:r w:rsidRPr="00FB15BA">
        <w:rPr>
          <w:iCs/>
        </w:rPr>
        <w:t xml:space="preserve">Main applicant refers to the household member who applied for and whose household was assisted by </w:t>
      </w:r>
      <w:r w:rsidRPr="00FB15BA">
        <w:rPr>
          <w:iCs/>
        </w:rPr>
        <w:t>ComCare. Each household assisted by ComCare has one main applicant.</w:t>
      </w:r>
    </w:p>
  </w:footnote>
  <w:footnote w:id="12">
    <w:p w14:paraId="5BA1C0DC" w14:textId="03217239" w:rsidR="00303267" w:rsidRDefault="00303267" w:rsidP="00703E60">
      <w:pPr>
        <w:pStyle w:val="FootnoteText"/>
        <w:jc w:val="both"/>
      </w:pPr>
      <w:r>
        <w:rPr>
          <w:rStyle w:val="FootnoteReference"/>
        </w:rPr>
        <w:footnoteRef/>
      </w:r>
      <w:r>
        <w:t>T</w:t>
      </w:r>
      <w:r w:rsidRPr="00DE09D2">
        <w:t xml:space="preserve">he Jobs Support Scheme (JSS) provides wage support for employers to retain their local employees (Singapore Citizens and Permanent Residents) during this period of economic uncertainty. </w:t>
      </w:r>
      <w:r>
        <w:t xml:space="preserve">Under the Job Support Scheme, the </w:t>
      </w:r>
      <w:r w:rsidR="005E6D7B">
        <w:t>G</w:t>
      </w:r>
      <w:r>
        <w:t xml:space="preserve">overnment co-funds a proportion of the first </w:t>
      </w:r>
      <w:r w:rsidR="004012AC">
        <w:rPr>
          <w:rFonts w:cs="Arial"/>
          <w:szCs w:val="24"/>
          <w:lang w:eastAsia="en-SG"/>
        </w:rPr>
        <w:t xml:space="preserve">SGD </w:t>
      </w:r>
      <w:r>
        <w:t xml:space="preserve">$4,600 of gross monthly wages paid to each local employee up to March 2021. </w:t>
      </w:r>
    </w:p>
  </w:footnote>
  <w:footnote w:id="13">
    <w:p w14:paraId="6770B041" w14:textId="10AE80E7" w:rsidR="00303267" w:rsidRDefault="00303267" w:rsidP="00703E60">
      <w:pPr>
        <w:pStyle w:val="FootnoteText"/>
        <w:jc w:val="both"/>
      </w:pPr>
      <w:r>
        <w:rPr>
          <w:rStyle w:val="FootnoteReference"/>
        </w:rPr>
        <w:footnoteRef/>
      </w:r>
      <w:r>
        <w:t xml:space="preserve"> The Self-Employed Person (SEP) Income Relief Scheme (SIRS) provides cash payouts of </w:t>
      </w:r>
      <w:r w:rsidR="004012AC">
        <w:rPr>
          <w:rFonts w:cs="Arial"/>
          <w:szCs w:val="24"/>
          <w:lang w:eastAsia="en-SG"/>
        </w:rPr>
        <w:t xml:space="preserve">SGD </w:t>
      </w:r>
      <w:r>
        <w:t xml:space="preserve">$3,000 each end-May, </w:t>
      </w:r>
      <w:r>
        <w:t xml:space="preserve">July and October 2020 to help Singaporean SEPs with less means and family support. </w:t>
      </w:r>
    </w:p>
  </w:footnote>
  <w:footnote w:id="14">
    <w:p w14:paraId="69D3E023" w14:textId="77777777" w:rsidR="00C87F1A" w:rsidRPr="00B50BEE" w:rsidRDefault="00C87F1A" w:rsidP="00C87F1A">
      <w:pPr>
        <w:pStyle w:val="FootnoteText"/>
        <w:rPr>
          <w:rFonts w:cstheme="minorHAnsi"/>
          <w:highlight w:val="green"/>
        </w:rPr>
      </w:pPr>
      <w:r w:rsidRPr="00F77162">
        <w:rPr>
          <w:rStyle w:val="FootnoteReference"/>
          <w:rFonts w:cstheme="minorHAnsi"/>
        </w:rPr>
        <w:footnoteRef/>
      </w:r>
      <w:r w:rsidRPr="00F77162">
        <w:rPr>
          <w:rFonts w:eastAsia="Arial" w:cstheme="minorHAnsi"/>
        </w:rPr>
        <w:t xml:space="preserve"> Addis ME (2008) Gender and depression in men. </w:t>
      </w:r>
      <w:r w:rsidRPr="00F77162">
        <w:rPr>
          <w:rFonts w:eastAsia="Arial" w:cstheme="minorHAnsi"/>
          <w:i/>
        </w:rPr>
        <w:t>Clinical Psychology: Science and Practice</w:t>
      </w:r>
      <w:r w:rsidRPr="00F77162">
        <w:rPr>
          <w:rFonts w:eastAsia="Arial" w:cstheme="minorHAnsi"/>
        </w:rPr>
        <w:t xml:space="preserve"> 15, 153–168.</w:t>
      </w:r>
    </w:p>
  </w:footnote>
  <w:footnote w:id="15">
    <w:p w14:paraId="2C5413E9" w14:textId="6DFF85DF" w:rsidR="00FB59D8" w:rsidRPr="00903167" w:rsidRDefault="00FB59D8" w:rsidP="00FB59D8">
      <w:pPr>
        <w:pStyle w:val="FootnoteText"/>
        <w:jc w:val="both"/>
        <w:rPr>
          <w:rFonts w:cstheme="minorHAnsi"/>
        </w:rPr>
      </w:pPr>
      <w:r w:rsidRPr="00903167">
        <w:rPr>
          <w:rStyle w:val="FootnoteReference"/>
          <w:rFonts w:cstheme="minorHAnsi"/>
        </w:rPr>
        <w:footnoteRef/>
      </w:r>
      <w:r w:rsidRPr="00903167">
        <w:rPr>
          <w:rFonts w:cstheme="minorHAnsi"/>
        </w:rPr>
        <w:t xml:space="preserve"> </w:t>
      </w:r>
      <w:r w:rsidRPr="00903167">
        <w:rPr>
          <w:rFonts w:cstheme="minorHAnsi"/>
          <w:lang w:eastAsia="en-SG"/>
        </w:rPr>
        <w:t xml:space="preserve">Breaches of Personal Protection Order/Domestic Exclusion Order/Expedited Order/Stay Away Order/No Contact Order/Electronic Monitoring Order are arrestable offences and will be punishable with a fine of up to </w:t>
      </w:r>
      <w:r w:rsidR="00486364">
        <w:rPr>
          <w:rFonts w:cs="Arial"/>
          <w:szCs w:val="24"/>
          <w:lang w:eastAsia="en-SG"/>
        </w:rPr>
        <w:t xml:space="preserve">SGD </w:t>
      </w:r>
      <w:r w:rsidRPr="00903167">
        <w:rPr>
          <w:rFonts w:cstheme="minorHAnsi"/>
          <w:lang w:eastAsia="en-SG"/>
        </w:rPr>
        <w:t xml:space="preserve">$10,000, or imprisonment of up to 12 months, or both, for a first conviction. Any breach of a Counselling Order, assessment order for the purpose of Mandatory Treatment, or a Mandatory Treatment Order will be an offence punishable with a fine of up to </w:t>
      </w:r>
      <w:r w:rsidR="00486364">
        <w:rPr>
          <w:rFonts w:cs="Arial"/>
          <w:szCs w:val="24"/>
          <w:lang w:eastAsia="en-SG"/>
        </w:rPr>
        <w:t xml:space="preserve">SGD </w:t>
      </w:r>
      <w:r w:rsidRPr="00903167">
        <w:rPr>
          <w:rFonts w:cstheme="minorHAnsi"/>
          <w:lang w:eastAsia="en-SG"/>
        </w:rPr>
        <w:t xml:space="preserve">$2,000. </w:t>
      </w:r>
    </w:p>
  </w:footnote>
  <w:footnote w:id="16">
    <w:p w14:paraId="308C8C8A" w14:textId="77777777" w:rsidR="00FB59D8" w:rsidRPr="00F40B8C" w:rsidRDefault="00FB59D8" w:rsidP="00FB59D8">
      <w:pPr>
        <w:pStyle w:val="FootnoteText"/>
        <w:jc w:val="both"/>
        <w:rPr>
          <w:rFonts w:cstheme="minorHAnsi"/>
          <w:highlight w:val="green"/>
        </w:rPr>
      </w:pPr>
      <w:r w:rsidRPr="00903167">
        <w:rPr>
          <w:rStyle w:val="FootnoteReference"/>
          <w:rFonts w:cstheme="minorHAnsi"/>
        </w:rPr>
        <w:footnoteRef/>
      </w:r>
      <w:r w:rsidRPr="00903167">
        <w:rPr>
          <w:rFonts w:cstheme="minorHAnsi"/>
        </w:rPr>
        <w:t xml:space="preserve"> </w:t>
      </w:r>
      <w:r w:rsidRPr="00903167">
        <w:rPr>
          <w:rStyle w:val="ui-provider"/>
          <w:rFonts w:cstheme="minorHAnsi"/>
        </w:rPr>
        <w:t>These powers</w:t>
      </w:r>
      <w:r w:rsidRPr="00903167" w:rsidDel="00CB70E5">
        <w:rPr>
          <w:rStyle w:val="ui-provider"/>
          <w:rFonts w:cstheme="minorHAnsi"/>
        </w:rPr>
        <w:t xml:space="preserve"> </w:t>
      </w:r>
      <w:r w:rsidRPr="00903167">
        <w:rPr>
          <w:rStyle w:val="ui-provider"/>
          <w:rFonts w:cstheme="minorHAnsi"/>
        </w:rPr>
        <w:t xml:space="preserve">enable MSF’s enforcement officers to detect and investigate </w:t>
      </w:r>
      <w:r w:rsidRPr="00903167">
        <w:rPr>
          <w:rStyle w:val="ui-provider"/>
          <w:rFonts w:cstheme="minorHAnsi"/>
        </w:rPr>
        <w:t>offences, and include powers to enter premises or seize documents for evidence of an offence.</w:t>
      </w:r>
    </w:p>
  </w:footnote>
  <w:footnote w:id="17">
    <w:p w14:paraId="40901E16" w14:textId="77777777" w:rsidR="005C2565" w:rsidRPr="000D18C2" w:rsidRDefault="005C2565" w:rsidP="005C2565">
      <w:pPr>
        <w:pStyle w:val="FootnoteText"/>
        <w:rPr>
          <w:rFonts w:cstheme="minorHAnsi"/>
          <w:highlight w:val="green"/>
        </w:rPr>
      </w:pPr>
      <w:r w:rsidRPr="00E55D4E">
        <w:rPr>
          <w:rStyle w:val="FootnoteReference"/>
          <w:rFonts w:cstheme="minorHAnsi"/>
        </w:rPr>
        <w:footnoteRef/>
      </w:r>
      <w:r w:rsidRPr="00E55D4E">
        <w:rPr>
          <w:rFonts w:eastAsia="Arial" w:cstheme="minorHAnsi"/>
        </w:rPr>
        <w:t xml:space="preserve"> A Protection Order application may involve more than 1 type of harassment.</w:t>
      </w:r>
    </w:p>
  </w:footnote>
  <w:footnote w:id="18">
    <w:p w14:paraId="00622C54" w14:textId="77777777" w:rsidR="00DE4B28" w:rsidRPr="00E55D4E" w:rsidRDefault="00DE4B28" w:rsidP="00703E60">
      <w:pPr>
        <w:spacing w:after="0" w:line="240" w:lineRule="auto"/>
        <w:rPr>
          <w:rFonts w:eastAsia="Franklin Gothic Book" w:cstheme="minorHAnsi"/>
          <w:sz w:val="20"/>
          <w:szCs w:val="20"/>
        </w:rPr>
      </w:pPr>
      <w:r w:rsidRPr="00E55D4E">
        <w:rPr>
          <w:rFonts w:eastAsia="Arial" w:cstheme="minorHAnsi"/>
          <w:sz w:val="20"/>
          <w:szCs w:val="20"/>
        </w:rPr>
        <w:footnoteRef/>
      </w:r>
      <w:r w:rsidRPr="00E55D4E">
        <w:rPr>
          <w:rFonts w:eastAsia="Arial" w:cstheme="minorHAnsi"/>
          <w:sz w:val="20"/>
          <w:szCs w:val="20"/>
        </w:rPr>
        <w:t xml:space="preserve"> IMDA’s Content Code for Nationwide Managed Transmission Linear Television Services.</w:t>
      </w:r>
    </w:p>
  </w:footnote>
  <w:footnote w:id="19">
    <w:p w14:paraId="514B301D" w14:textId="77777777" w:rsidR="00DE4B28" w:rsidRPr="002C5213" w:rsidRDefault="00DE4B28" w:rsidP="00001C24">
      <w:pPr>
        <w:spacing w:after="0" w:line="240" w:lineRule="auto"/>
        <w:rPr>
          <w:rFonts w:eastAsia="Franklin Gothic Book" w:cstheme="minorHAnsi"/>
          <w:color w:val="000000" w:themeColor="text1"/>
          <w:sz w:val="20"/>
          <w:szCs w:val="20"/>
          <w:highlight w:val="green"/>
          <w:lang w:val="en-GB"/>
        </w:rPr>
      </w:pPr>
      <w:r w:rsidRPr="00E55D4E">
        <w:rPr>
          <w:rFonts w:eastAsia="Arial" w:cstheme="minorHAnsi"/>
          <w:sz w:val="20"/>
          <w:szCs w:val="20"/>
        </w:rPr>
        <w:footnoteRef/>
      </w:r>
      <w:r w:rsidRPr="00D9340D">
        <w:rPr>
          <w:rFonts w:eastAsia="Arial" w:cstheme="minorHAnsi"/>
          <w:sz w:val="20"/>
          <w:szCs w:val="20"/>
        </w:rPr>
        <w:t xml:space="preserve"> </w:t>
      </w:r>
      <w:r w:rsidRPr="00D9340D">
        <w:rPr>
          <w:rFonts w:eastAsia="Arial" w:cstheme="minorHAnsi"/>
          <w:color w:val="000000" w:themeColor="text1"/>
          <w:sz w:val="20"/>
          <w:szCs w:val="20"/>
        </w:rPr>
        <w:t xml:space="preserve">IMDA’s </w:t>
      </w:r>
      <w:r w:rsidRPr="00D9340D">
        <w:rPr>
          <w:rFonts w:eastAsia="Arial" w:cstheme="minorHAnsi"/>
          <w:color w:val="000000" w:themeColor="text1"/>
          <w:sz w:val="20"/>
          <w:szCs w:val="20"/>
          <w:lang w:val="en-GB"/>
        </w:rPr>
        <w:t>Television and Radio Advertising and Sponsorship Code.</w:t>
      </w:r>
    </w:p>
  </w:footnote>
  <w:footnote w:id="20">
    <w:p w14:paraId="70711817" w14:textId="77777777" w:rsidR="00523187" w:rsidRDefault="00523187" w:rsidP="00523187">
      <w:pPr>
        <w:pStyle w:val="FootnoteText"/>
      </w:pPr>
      <w:r>
        <w:rPr>
          <w:rStyle w:val="FootnoteReference"/>
        </w:rPr>
        <w:footnoteRef/>
      </w:r>
      <w:r>
        <w:t xml:space="preserve"> </w:t>
      </w:r>
      <w:r w:rsidRPr="00535970">
        <w:rPr>
          <w:b/>
          <w:bCs/>
        </w:rPr>
        <w:t>D</w:t>
      </w:r>
      <w:r>
        <w:t xml:space="preserve">adah </w:t>
      </w:r>
      <w:r w:rsidRPr="00535970">
        <w:rPr>
          <w:b/>
          <w:bCs/>
        </w:rPr>
        <w:t>I</w:t>
      </w:r>
      <w:r>
        <w:t xml:space="preserve">tu </w:t>
      </w:r>
      <w:r w:rsidRPr="00535970">
        <w:rPr>
          <w:b/>
          <w:bCs/>
        </w:rPr>
        <w:t>H</w:t>
      </w:r>
      <w:r>
        <w:t>aram stands for ‘Drugs are Forbidden’.</w:t>
      </w:r>
    </w:p>
  </w:footnote>
  <w:footnote w:id="21">
    <w:p w14:paraId="3DB622D7" w14:textId="77777777" w:rsidR="00523187" w:rsidRDefault="00523187" w:rsidP="00523187">
      <w:pPr>
        <w:pStyle w:val="FootnoteText"/>
      </w:pPr>
      <w:r>
        <w:rPr>
          <w:rStyle w:val="FootnoteReference"/>
        </w:rPr>
        <w:footnoteRef/>
      </w:r>
      <w:r>
        <w:t xml:space="preserve"> </w:t>
      </w:r>
      <w:r w:rsidRPr="00535970">
        <w:rPr>
          <w:b/>
          <w:bCs/>
        </w:rPr>
        <w:t>B</w:t>
      </w:r>
      <w:r>
        <w:t xml:space="preserve">othaiporulai </w:t>
      </w:r>
      <w:r w:rsidRPr="00535970">
        <w:rPr>
          <w:b/>
          <w:bCs/>
        </w:rPr>
        <w:t>E</w:t>
      </w:r>
      <w:r>
        <w:t>thirthu Nirpom</w:t>
      </w:r>
      <w:r w:rsidRPr="002E5BD3">
        <w:t xml:space="preserve"> </w:t>
      </w:r>
      <w:r>
        <w:t>stands for ‘We Stand United Against Drugs’.</w:t>
      </w:r>
    </w:p>
  </w:footnote>
  <w:footnote w:id="22">
    <w:p w14:paraId="15FFAFA5" w14:textId="77777777" w:rsidR="0070723A" w:rsidRDefault="0070723A" w:rsidP="0070723A">
      <w:pPr>
        <w:pStyle w:val="FootnoteText"/>
      </w:pPr>
      <w:r>
        <w:rPr>
          <w:rStyle w:val="FootnoteReference"/>
        </w:rPr>
        <w:footnoteRef/>
      </w:r>
      <w:r>
        <w:t xml:space="preserve"> M</w:t>
      </w:r>
      <w:r w:rsidRPr="00823332">
        <w:rPr>
          <w:rFonts w:cstheme="minorHAnsi"/>
          <w:color w:val="212529"/>
        </w:rPr>
        <w:t xml:space="preserve">orphine, </w:t>
      </w:r>
      <w:r>
        <w:rPr>
          <w:rFonts w:cstheme="minorHAnsi"/>
          <w:color w:val="212529"/>
        </w:rPr>
        <w:t>D</w:t>
      </w:r>
      <w:r w:rsidRPr="00823332">
        <w:rPr>
          <w:rFonts w:cstheme="minorHAnsi"/>
          <w:color w:val="212529"/>
        </w:rPr>
        <w:t xml:space="preserve">iamorphine, </w:t>
      </w:r>
      <w:r>
        <w:rPr>
          <w:rFonts w:cstheme="minorHAnsi"/>
          <w:color w:val="212529"/>
        </w:rPr>
        <w:t>O</w:t>
      </w:r>
      <w:r w:rsidRPr="00823332">
        <w:rPr>
          <w:rFonts w:cstheme="minorHAnsi"/>
          <w:color w:val="212529"/>
        </w:rPr>
        <w:t xml:space="preserve">pium, </w:t>
      </w:r>
      <w:r>
        <w:rPr>
          <w:rFonts w:cstheme="minorHAnsi"/>
          <w:color w:val="212529"/>
        </w:rPr>
        <w:t>C</w:t>
      </w:r>
      <w:r w:rsidRPr="00823332">
        <w:rPr>
          <w:rFonts w:cstheme="minorHAnsi"/>
          <w:color w:val="212529"/>
        </w:rPr>
        <w:t xml:space="preserve">ocaine, </w:t>
      </w:r>
      <w:r>
        <w:rPr>
          <w:rFonts w:cstheme="minorHAnsi"/>
          <w:color w:val="212529"/>
        </w:rPr>
        <w:t>C</w:t>
      </w:r>
      <w:r w:rsidRPr="00823332">
        <w:rPr>
          <w:rFonts w:cstheme="minorHAnsi"/>
          <w:color w:val="212529"/>
        </w:rPr>
        <w:t xml:space="preserve">annabis, </w:t>
      </w:r>
      <w:r>
        <w:rPr>
          <w:rFonts w:cstheme="minorHAnsi"/>
          <w:color w:val="212529"/>
        </w:rPr>
        <w:t>C</w:t>
      </w:r>
      <w:r w:rsidRPr="00823332">
        <w:rPr>
          <w:rFonts w:cstheme="minorHAnsi"/>
          <w:color w:val="212529"/>
        </w:rPr>
        <w:t xml:space="preserve">annabis resin, </w:t>
      </w:r>
      <w:r>
        <w:rPr>
          <w:rFonts w:cstheme="minorHAnsi"/>
          <w:color w:val="212529"/>
        </w:rPr>
        <w:t>C</w:t>
      </w:r>
      <w:r w:rsidRPr="00823332">
        <w:rPr>
          <w:rFonts w:cstheme="minorHAnsi"/>
          <w:color w:val="212529"/>
        </w:rPr>
        <w:t xml:space="preserve">annabis mixture and </w:t>
      </w:r>
      <w:r>
        <w:rPr>
          <w:rFonts w:cstheme="minorHAnsi"/>
          <w:color w:val="212529"/>
        </w:rPr>
        <w:t>M</w:t>
      </w:r>
      <w:r w:rsidRPr="00823332">
        <w:rPr>
          <w:rFonts w:cstheme="minorHAnsi"/>
          <w:color w:val="212529"/>
        </w:rPr>
        <w:t>ethamphetamine</w:t>
      </w:r>
    </w:p>
  </w:footnote>
  <w:footnote w:id="23">
    <w:p w14:paraId="667FFE80" w14:textId="77777777" w:rsidR="00764B1A" w:rsidRPr="0042498E" w:rsidRDefault="00764B1A" w:rsidP="00764B1A">
      <w:pPr>
        <w:pStyle w:val="FootnoteText"/>
        <w:rPr>
          <w:rFonts w:cstheme="minorHAnsi"/>
          <w:highlight w:val="green"/>
        </w:rPr>
      </w:pPr>
      <w:r w:rsidRPr="00E55D4E">
        <w:rPr>
          <w:rStyle w:val="FootnoteReference"/>
          <w:rFonts w:eastAsia="Arial" w:cstheme="minorHAnsi"/>
        </w:rPr>
        <w:footnoteRef/>
      </w:r>
      <w:r w:rsidRPr="00646183">
        <w:rPr>
          <w:rFonts w:eastAsia="Arial" w:cstheme="minorHAnsi"/>
        </w:rPr>
        <w:t xml:space="preserve"> Data provided by </w:t>
      </w:r>
      <w:r w:rsidRPr="00646183">
        <w:rPr>
          <w:rFonts w:eastAsia="Arial" w:cstheme="minorHAnsi"/>
        </w:rPr>
        <w:t>NAMS</w:t>
      </w:r>
    </w:p>
  </w:footnote>
  <w:footnote w:id="24">
    <w:p w14:paraId="6611FD2A" w14:textId="77777777" w:rsidR="0016270D" w:rsidRPr="00591AA0" w:rsidRDefault="0016270D" w:rsidP="0016270D">
      <w:pPr>
        <w:pStyle w:val="FootnoteText"/>
        <w:rPr>
          <w:rFonts w:cstheme="minorHAnsi"/>
        </w:rPr>
      </w:pPr>
      <w:r w:rsidRPr="00591AA0">
        <w:rPr>
          <w:rStyle w:val="FootnoteReference"/>
          <w:rFonts w:eastAsia="Arial" w:cstheme="minorHAnsi"/>
        </w:rPr>
        <w:footnoteRef/>
      </w:r>
      <w:r w:rsidRPr="001B47D8">
        <w:rPr>
          <w:rFonts w:eastAsia="Arial" w:cstheme="minorHAnsi"/>
        </w:rPr>
        <w:t xml:space="preserve"> NDCs are commitments that countries make to reduce their greenhouse gas emissions and adapt to climate change impacts.</w:t>
      </w:r>
    </w:p>
  </w:footnote>
  <w:footnote w:id="25">
    <w:p w14:paraId="5B2A1464" w14:textId="645D8F8C" w:rsidR="0016270D" w:rsidRPr="00234B24" w:rsidRDefault="0016270D" w:rsidP="0016270D">
      <w:pPr>
        <w:pStyle w:val="FootnoteText"/>
        <w:rPr>
          <w:rFonts w:cstheme="minorHAnsi"/>
        </w:rPr>
      </w:pPr>
      <w:r w:rsidRPr="00591AA0">
        <w:rPr>
          <w:rStyle w:val="FootnoteReference"/>
          <w:rFonts w:eastAsia="Arial" w:cstheme="minorHAnsi"/>
        </w:rPr>
        <w:footnoteRef/>
      </w:r>
      <w:r w:rsidRPr="001B47D8">
        <w:rPr>
          <w:rFonts w:eastAsia="Arial" w:cstheme="minorHAnsi"/>
        </w:rPr>
        <w:t xml:space="preserve"> The Singapore Green Plan 2030 consists of five pillars, namely: (</w:t>
      </w:r>
      <w:r w:rsidRPr="001B47D8">
        <w:rPr>
          <w:rFonts w:eastAsia="Arial" w:cstheme="minorHAnsi"/>
        </w:rPr>
        <w:t>i) City in Nature; (ii) Energy Reset; (iii)</w:t>
      </w:r>
      <w:r w:rsidR="001B47D8">
        <w:rPr>
          <w:rFonts w:eastAsia="Arial" w:cstheme="minorHAnsi"/>
        </w:rPr>
        <w:t xml:space="preserve"> </w:t>
      </w:r>
      <w:r w:rsidRPr="001B47D8">
        <w:rPr>
          <w:rFonts w:eastAsia="Arial" w:cstheme="minorHAnsi"/>
        </w:rPr>
        <w:t>Green Economy; (iv)</w:t>
      </w:r>
      <w:r w:rsidR="001B47D8">
        <w:rPr>
          <w:rFonts w:eastAsia="Arial" w:cstheme="minorHAnsi"/>
        </w:rPr>
        <w:t xml:space="preserve"> </w:t>
      </w:r>
      <w:r w:rsidRPr="001B47D8">
        <w:rPr>
          <w:rFonts w:eastAsia="Arial" w:cstheme="minorHAnsi"/>
        </w:rPr>
        <w:t xml:space="preserve">Resilient Future, </w:t>
      </w:r>
      <w:r w:rsidRPr="001B47D8">
        <w:rPr>
          <w:rFonts w:eastAsia="Arial" w:cstheme="minorHAnsi"/>
        </w:rPr>
        <w:t>and; (v)</w:t>
      </w:r>
      <w:r w:rsidR="001B47D8">
        <w:rPr>
          <w:rFonts w:eastAsia="Arial" w:cstheme="minorHAnsi"/>
        </w:rPr>
        <w:t xml:space="preserve"> </w:t>
      </w:r>
      <w:r w:rsidRPr="001B47D8">
        <w:rPr>
          <w:rFonts w:eastAsia="Arial" w:cstheme="minorHAnsi"/>
        </w:rPr>
        <w:t>Sustainable Living, underpinned by Green Government as enablers.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53770E" w14:paraId="417C858A" w14:textId="77777777" w:rsidTr="009426EA">
      <w:trPr>
        <w:trHeight w:val="300"/>
      </w:trPr>
      <w:tc>
        <w:tcPr>
          <w:tcW w:w="3120" w:type="dxa"/>
        </w:tcPr>
        <w:p w14:paraId="10460AEA" w14:textId="5125DD00" w:rsidR="5A53770E" w:rsidRDefault="5A53770E" w:rsidP="009426EA">
          <w:pPr>
            <w:pStyle w:val="Header"/>
            <w:ind w:left="-115"/>
          </w:pPr>
        </w:p>
      </w:tc>
      <w:tc>
        <w:tcPr>
          <w:tcW w:w="3120" w:type="dxa"/>
        </w:tcPr>
        <w:p w14:paraId="2E9A474D" w14:textId="69BC143D" w:rsidR="5A53770E" w:rsidRDefault="5A53770E" w:rsidP="009426EA">
          <w:pPr>
            <w:pStyle w:val="Header"/>
            <w:jc w:val="center"/>
          </w:pPr>
        </w:p>
      </w:tc>
      <w:tc>
        <w:tcPr>
          <w:tcW w:w="3120" w:type="dxa"/>
        </w:tcPr>
        <w:p w14:paraId="1FE083FC" w14:textId="7CA7C1D1" w:rsidR="5A53770E" w:rsidRDefault="5A53770E" w:rsidP="009426EA">
          <w:pPr>
            <w:pStyle w:val="Header"/>
            <w:ind w:right="-115"/>
            <w:jc w:val="right"/>
          </w:pPr>
        </w:p>
      </w:tc>
    </w:tr>
  </w:tbl>
  <w:p w14:paraId="49C7596E" w14:textId="00A43E97" w:rsidR="0095694D" w:rsidRDefault="00956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BCC"/>
    <w:multiLevelType w:val="hybridMultilevel"/>
    <w:tmpl w:val="32EE398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904276"/>
    <w:multiLevelType w:val="hybridMultilevel"/>
    <w:tmpl w:val="D750BC28"/>
    <w:lvl w:ilvl="0" w:tplc="E1204740">
      <w:start w:val="1"/>
      <w:numFmt w:val="bullet"/>
      <w:lvlText w:val=""/>
      <w:lvlJc w:val="left"/>
      <w:pPr>
        <w:ind w:left="720" w:hanging="360"/>
      </w:pPr>
      <w:rPr>
        <w:rFonts w:ascii="Symbol" w:hAnsi="Symbol"/>
      </w:rPr>
    </w:lvl>
    <w:lvl w:ilvl="1" w:tplc="FA0A0FBA">
      <w:start w:val="1"/>
      <w:numFmt w:val="bullet"/>
      <w:lvlText w:val=""/>
      <w:lvlJc w:val="left"/>
      <w:pPr>
        <w:ind w:left="720" w:hanging="360"/>
      </w:pPr>
      <w:rPr>
        <w:rFonts w:ascii="Symbol" w:hAnsi="Symbol"/>
      </w:rPr>
    </w:lvl>
    <w:lvl w:ilvl="2" w:tplc="BEFEC856">
      <w:start w:val="1"/>
      <w:numFmt w:val="bullet"/>
      <w:lvlText w:val=""/>
      <w:lvlJc w:val="left"/>
      <w:pPr>
        <w:ind w:left="720" w:hanging="360"/>
      </w:pPr>
      <w:rPr>
        <w:rFonts w:ascii="Symbol" w:hAnsi="Symbol"/>
      </w:rPr>
    </w:lvl>
    <w:lvl w:ilvl="3" w:tplc="32CAE43E">
      <w:start w:val="1"/>
      <w:numFmt w:val="bullet"/>
      <w:lvlText w:val=""/>
      <w:lvlJc w:val="left"/>
      <w:pPr>
        <w:ind w:left="720" w:hanging="360"/>
      </w:pPr>
      <w:rPr>
        <w:rFonts w:ascii="Symbol" w:hAnsi="Symbol"/>
      </w:rPr>
    </w:lvl>
    <w:lvl w:ilvl="4" w:tplc="B6488766">
      <w:start w:val="1"/>
      <w:numFmt w:val="bullet"/>
      <w:lvlText w:val=""/>
      <w:lvlJc w:val="left"/>
      <w:pPr>
        <w:ind w:left="720" w:hanging="360"/>
      </w:pPr>
      <w:rPr>
        <w:rFonts w:ascii="Symbol" w:hAnsi="Symbol"/>
      </w:rPr>
    </w:lvl>
    <w:lvl w:ilvl="5" w:tplc="EE607B66">
      <w:start w:val="1"/>
      <w:numFmt w:val="bullet"/>
      <w:lvlText w:val=""/>
      <w:lvlJc w:val="left"/>
      <w:pPr>
        <w:ind w:left="720" w:hanging="360"/>
      </w:pPr>
      <w:rPr>
        <w:rFonts w:ascii="Symbol" w:hAnsi="Symbol"/>
      </w:rPr>
    </w:lvl>
    <w:lvl w:ilvl="6" w:tplc="8C94A96C">
      <w:start w:val="1"/>
      <w:numFmt w:val="bullet"/>
      <w:lvlText w:val=""/>
      <w:lvlJc w:val="left"/>
      <w:pPr>
        <w:ind w:left="720" w:hanging="360"/>
      </w:pPr>
      <w:rPr>
        <w:rFonts w:ascii="Symbol" w:hAnsi="Symbol"/>
      </w:rPr>
    </w:lvl>
    <w:lvl w:ilvl="7" w:tplc="45C4BC6E">
      <w:start w:val="1"/>
      <w:numFmt w:val="bullet"/>
      <w:lvlText w:val=""/>
      <w:lvlJc w:val="left"/>
      <w:pPr>
        <w:ind w:left="720" w:hanging="360"/>
      </w:pPr>
      <w:rPr>
        <w:rFonts w:ascii="Symbol" w:hAnsi="Symbol"/>
      </w:rPr>
    </w:lvl>
    <w:lvl w:ilvl="8" w:tplc="79F64FF6">
      <w:start w:val="1"/>
      <w:numFmt w:val="bullet"/>
      <w:lvlText w:val=""/>
      <w:lvlJc w:val="left"/>
      <w:pPr>
        <w:ind w:left="720" w:hanging="360"/>
      </w:pPr>
      <w:rPr>
        <w:rFonts w:ascii="Symbol" w:hAnsi="Symbol"/>
      </w:rPr>
    </w:lvl>
  </w:abstractNum>
  <w:abstractNum w:abstractNumId="2" w15:restartNumberingAfterBreak="0">
    <w:nsid w:val="03A92316"/>
    <w:multiLevelType w:val="hybridMultilevel"/>
    <w:tmpl w:val="1EF636DC"/>
    <w:lvl w:ilvl="0" w:tplc="1C542396">
      <w:start w:val="1"/>
      <w:numFmt w:val="lowerRoman"/>
      <w:lvlText w:val="%1."/>
      <w:lvlJc w:val="left"/>
      <w:pPr>
        <w:ind w:left="1080" w:hanging="72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64B25C9"/>
    <w:multiLevelType w:val="hybridMultilevel"/>
    <w:tmpl w:val="B3FC5BD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C27720"/>
    <w:multiLevelType w:val="hybridMultilevel"/>
    <w:tmpl w:val="FFFFFFFF"/>
    <w:lvl w:ilvl="0" w:tplc="260055E8">
      <w:start w:val="1"/>
      <w:numFmt w:val="lowerRoman"/>
      <w:lvlText w:val="%1)"/>
      <w:lvlJc w:val="left"/>
      <w:pPr>
        <w:ind w:left="1080" w:hanging="720"/>
      </w:pPr>
      <w:rPr>
        <w:rFonts w:ascii="Calibri" w:hAnsi="Calibri" w:cs="Calibri" w:hint="default"/>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5" w15:restartNumberingAfterBreak="0">
    <w:nsid w:val="079D4A98"/>
    <w:multiLevelType w:val="hybridMultilevel"/>
    <w:tmpl w:val="4B06730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B2F484D"/>
    <w:multiLevelType w:val="hybridMultilevel"/>
    <w:tmpl w:val="0E123B68"/>
    <w:lvl w:ilvl="0" w:tplc="AEA2F29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E947D3E"/>
    <w:multiLevelType w:val="hybridMultilevel"/>
    <w:tmpl w:val="604CE192"/>
    <w:lvl w:ilvl="0" w:tplc="B76AE6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306A1"/>
    <w:multiLevelType w:val="hybridMultilevel"/>
    <w:tmpl w:val="1CCE5D30"/>
    <w:lvl w:ilvl="0" w:tplc="EB8618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0EE1EDC"/>
    <w:multiLevelType w:val="hybridMultilevel"/>
    <w:tmpl w:val="1E5C236C"/>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0" w15:restartNumberingAfterBreak="0">
    <w:nsid w:val="12935662"/>
    <w:multiLevelType w:val="hybridMultilevel"/>
    <w:tmpl w:val="802EE09C"/>
    <w:lvl w:ilvl="0" w:tplc="6754575A">
      <w:start w:val="1"/>
      <w:numFmt w:val="bullet"/>
      <w:lvlText w:val=""/>
      <w:lvlJc w:val="left"/>
      <w:pPr>
        <w:ind w:left="720" w:hanging="360"/>
      </w:pPr>
      <w:rPr>
        <w:rFonts w:ascii="Symbol" w:hAnsi="Symbol"/>
      </w:rPr>
    </w:lvl>
    <w:lvl w:ilvl="1" w:tplc="9956F4F6">
      <w:start w:val="1"/>
      <w:numFmt w:val="bullet"/>
      <w:lvlText w:val=""/>
      <w:lvlJc w:val="left"/>
      <w:pPr>
        <w:ind w:left="720" w:hanging="360"/>
      </w:pPr>
      <w:rPr>
        <w:rFonts w:ascii="Symbol" w:hAnsi="Symbol"/>
      </w:rPr>
    </w:lvl>
    <w:lvl w:ilvl="2" w:tplc="043A7720">
      <w:start w:val="1"/>
      <w:numFmt w:val="bullet"/>
      <w:lvlText w:val=""/>
      <w:lvlJc w:val="left"/>
      <w:pPr>
        <w:ind w:left="720" w:hanging="360"/>
      </w:pPr>
      <w:rPr>
        <w:rFonts w:ascii="Symbol" w:hAnsi="Symbol"/>
      </w:rPr>
    </w:lvl>
    <w:lvl w:ilvl="3" w:tplc="AC582E12">
      <w:start w:val="1"/>
      <w:numFmt w:val="bullet"/>
      <w:lvlText w:val=""/>
      <w:lvlJc w:val="left"/>
      <w:pPr>
        <w:ind w:left="720" w:hanging="360"/>
      </w:pPr>
      <w:rPr>
        <w:rFonts w:ascii="Symbol" w:hAnsi="Symbol"/>
      </w:rPr>
    </w:lvl>
    <w:lvl w:ilvl="4" w:tplc="DDC457EC">
      <w:start w:val="1"/>
      <w:numFmt w:val="bullet"/>
      <w:lvlText w:val=""/>
      <w:lvlJc w:val="left"/>
      <w:pPr>
        <w:ind w:left="720" w:hanging="360"/>
      </w:pPr>
      <w:rPr>
        <w:rFonts w:ascii="Symbol" w:hAnsi="Symbol"/>
      </w:rPr>
    </w:lvl>
    <w:lvl w:ilvl="5" w:tplc="6EE01BBC">
      <w:start w:val="1"/>
      <w:numFmt w:val="bullet"/>
      <w:lvlText w:val=""/>
      <w:lvlJc w:val="left"/>
      <w:pPr>
        <w:ind w:left="720" w:hanging="360"/>
      </w:pPr>
      <w:rPr>
        <w:rFonts w:ascii="Symbol" w:hAnsi="Symbol"/>
      </w:rPr>
    </w:lvl>
    <w:lvl w:ilvl="6" w:tplc="7ECA83B8">
      <w:start w:val="1"/>
      <w:numFmt w:val="bullet"/>
      <w:lvlText w:val=""/>
      <w:lvlJc w:val="left"/>
      <w:pPr>
        <w:ind w:left="720" w:hanging="360"/>
      </w:pPr>
      <w:rPr>
        <w:rFonts w:ascii="Symbol" w:hAnsi="Symbol"/>
      </w:rPr>
    </w:lvl>
    <w:lvl w:ilvl="7" w:tplc="92D22058">
      <w:start w:val="1"/>
      <w:numFmt w:val="bullet"/>
      <w:lvlText w:val=""/>
      <w:lvlJc w:val="left"/>
      <w:pPr>
        <w:ind w:left="720" w:hanging="360"/>
      </w:pPr>
      <w:rPr>
        <w:rFonts w:ascii="Symbol" w:hAnsi="Symbol"/>
      </w:rPr>
    </w:lvl>
    <w:lvl w:ilvl="8" w:tplc="338C0DF8">
      <w:start w:val="1"/>
      <w:numFmt w:val="bullet"/>
      <w:lvlText w:val=""/>
      <w:lvlJc w:val="left"/>
      <w:pPr>
        <w:ind w:left="720" w:hanging="360"/>
      </w:pPr>
      <w:rPr>
        <w:rFonts w:ascii="Symbol" w:hAnsi="Symbol"/>
      </w:rPr>
    </w:lvl>
  </w:abstractNum>
  <w:abstractNum w:abstractNumId="11" w15:restartNumberingAfterBreak="0">
    <w:nsid w:val="136C440E"/>
    <w:multiLevelType w:val="hybridMultilevel"/>
    <w:tmpl w:val="3462EC7A"/>
    <w:lvl w:ilvl="0" w:tplc="8B187F24">
      <w:start w:val="1"/>
      <w:numFmt w:val="decimal"/>
      <w:lvlText w:val="%1."/>
      <w:lvlJc w:val="left"/>
      <w:pPr>
        <w:ind w:left="1020" w:hanging="360"/>
      </w:pPr>
    </w:lvl>
    <w:lvl w:ilvl="1" w:tplc="F7C4A560">
      <w:start w:val="1"/>
      <w:numFmt w:val="decimal"/>
      <w:lvlText w:val="%2."/>
      <w:lvlJc w:val="left"/>
      <w:pPr>
        <w:ind w:left="1020" w:hanging="360"/>
      </w:pPr>
    </w:lvl>
    <w:lvl w:ilvl="2" w:tplc="D7A8DE3A">
      <w:start w:val="1"/>
      <w:numFmt w:val="decimal"/>
      <w:lvlText w:val="%3."/>
      <w:lvlJc w:val="left"/>
      <w:pPr>
        <w:ind w:left="1020" w:hanging="360"/>
      </w:pPr>
    </w:lvl>
    <w:lvl w:ilvl="3" w:tplc="E3D4FBE4">
      <w:start w:val="1"/>
      <w:numFmt w:val="decimal"/>
      <w:lvlText w:val="%4."/>
      <w:lvlJc w:val="left"/>
      <w:pPr>
        <w:ind w:left="1020" w:hanging="360"/>
      </w:pPr>
    </w:lvl>
    <w:lvl w:ilvl="4" w:tplc="18024462">
      <w:start w:val="1"/>
      <w:numFmt w:val="decimal"/>
      <w:lvlText w:val="%5."/>
      <w:lvlJc w:val="left"/>
      <w:pPr>
        <w:ind w:left="1020" w:hanging="360"/>
      </w:pPr>
    </w:lvl>
    <w:lvl w:ilvl="5" w:tplc="E7508F4A">
      <w:start w:val="1"/>
      <w:numFmt w:val="decimal"/>
      <w:lvlText w:val="%6."/>
      <w:lvlJc w:val="left"/>
      <w:pPr>
        <w:ind w:left="1020" w:hanging="360"/>
      </w:pPr>
    </w:lvl>
    <w:lvl w:ilvl="6" w:tplc="98A0D7FC">
      <w:start w:val="1"/>
      <w:numFmt w:val="decimal"/>
      <w:lvlText w:val="%7."/>
      <w:lvlJc w:val="left"/>
      <w:pPr>
        <w:ind w:left="1020" w:hanging="360"/>
      </w:pPr>
    </w:lvl>
    <w:lvl w:ilvl="7" w:tplc="97840D4A">
      <w:start w:val="1"/>
      <w:numFmt w:val="decimal"/>
      <w:lvlText w:val="%8."/>
      <w:lvlJc w:val="left"/>
      <w:pPr>
        <w:ind w:left="1020" w:hanging="360"/>
      </w:pPr>
    </w:lvl>
    <w:lvl w:ilvl="8" w:tplc="42A089A8">
      <w:start w:val="1"/>
      <w:numFmt w:val="decimal"/>
      <w:lvlText w:val="%9."/>
      <w:lvlJc w:val="left"/>
      <w:pPr>
        <w:ind w:left="1020" w:hanging="360"/>
      </w:pPr>
    </w:lvl>
  </w:abstractNum>
  <w:abstractNum w:abstractNumId="12" w15:restartNumberingAfterBreak="0">
    <w:nsid w:val="14C44ED0"/>
    <w:multiLevelType w:val="hybridMultilevel"/>
    <w:tmpl w:val="004848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4CB52DB"/>
    <w:multiLevelType w:val="hybridMultilevel"/>
    <w:tmpl w:val="268C1426"/>
    <w:lvl w:ilvl="0" w:tplc="347ABE3A">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6D1CE1"/>
    <w:multiLevelType w:val="hybridMultilevel"/>
    <w:tmpl w:val="4AF4CFEA"/>
    <w:lvl w:ilvl="0" w:tplc="EB2EF100">
      <w:start w:val="1"/>
      <w:numFmt w:val="bullet"/>
      <w:lvlText w:val=""/>
      <w:lvlJc w:val="left"/>
      <w:pPr>
        <w:ind w:left="720" w:hanging="360"/>
      </w:pPr>
      <w:rPr>
        <w:rFonts w:ascii="Symbol" w:hAnsi="Symbol"/>
      </w:rPr>
    </w:lvl>
    <w:lvl w:ilvl="1" w:tplc="2AC666DC">
      <w:start w:val="1"/>
      <w:numFmt w:val="bullet"/>
      <w:lvlText w:val=""/>
      <w:lvlJc w:val="left"/>
      <w:pPr>
        <w:ind w:left="720" w:hanging="360"/>
      </w:pPr>
      <w:rPr>
        <w:rFonts w:ascii="Symbol" w:hAnsi="Symbol"/>
      </w:rPr>
    </w:lvl>
    <w:lvl w:ilvl="2" w:tplc="6E08C492">
      <w:start w:val="1"/>
      <w:numFmt w:val="bullet"/>
      <w:lvlText w:val=""/>
      <w:lvlJc w:val="left"/>
      <w:pPr>
        <w:ind w:left="720" w:hanging="360"/>
      </w:pPr>
      <w:rPr>
        <w:rFonts w:ascii="Symbol" w:hAnsi="Symbol"/>
      </w:rPr>
    </w:lvl>
    <w:lvl w:ilvl="3" w:tplc="8CE48564">
      <w:start w:val="1"/>
      <w:numFmt w:val="bullet"/>
      <w:lvlText w:val=""/>
      <w:lvlJc w:val="left"/>
      <w:pPr>
        <w:ind w:left="720" w:hanging="360"/>
      </w:pPr>
      <w:rPr>
        <w:rFonts w:ascii="Symbol" w:hAnsi="Symbol"/>
      </w:rPr>
    </w:lvl>
    <w:lvl w:ilvl="4" w:tplc="ED6254D6">
      <w:start w:val="1"/>
      <w:numFmt w:val="bullet"/>
      <w:lvlText w:val=""/>
      <w:lvlJc w:val="left"/>
      <w:pPr>
        <w:ind w:left="720" w:hanging="360"/>
      </w:pPr>
      <w:rPr>
        <w:rFonts w:ascii="Symbol" w:hAnsi="Symbol"/>
      </w:rPr>
    </w:lvl>
    <w:lvl w:ilvl="5" w:tplc="0D303728">
      <w:start w:val="1"/>
      <w:numFmt w:val="bullet"/>
      <w:lvlText w:val=""/>
      <w:lvlJc w:val="left"/>
      <w:pPr>
        <w:ind w:left="720" w:hanging="360"/>
      </w:pPr>
      <w:rPr>
        <w:rFonts w:ascii="Symbol" w:hAnsi="Symbol"/>
      </w:rPr>
    </w:lvl>
    <w:lvl w:ilvl="6" w:tplc="5FE6888A">
      <w:start w:val="1"/>
      <w:numFmt w:val="bullet"/>
      <w:lvlText w:val=""/>
      <w:lvlJc w:val="left"/>
      <w:pPr>
        <w:ind w:left="720" w:hanging="360"/>
      </w:pPr>
      <w:rPr>
        <w:rFonts w:ascii="Symbol" w:hAnsi="Symbol"/>
      </w:rPr>
    </w:lvl>
    <w:lvl w:ilvl="7" w:tplc="9418FE36">
      <w:start w:val="1"/>
      <w:numFmt w:val="bullet"/>
      <w:lvlText w:val=""/>
      <w:lvlJc w:val="left"/>
      <w:pPr>
        <w:ind w:left="720" w:hanging="360"/>
      </w:pPr>
      <w:rPr>
        <w:rFonts w:ascii="Symbol" w:hAnsi="Symbol"/>
      </w:rPr>
    </w:lvl>
    <w:lvl w:ilvl="8" w:tplc="195C5D64">
      <w:start w:val="1"/>
      <w:numFmt w:val="bullet"/>
      <w:lvlText w:val=""/>
      <w:lvlJc w:val="left"/>
      <w:pPr>
        <w:ind w:left="720" w:hanging="360"/>
      </w:pPr>
      <w:rPr>
        <w:rFonts w:ascii="Symbol" w:hAnsi="Symbol"/>
      </w:rPr>
    </w:lvl>
  </w:abstractNum>
  <w:abstractNum w:abstractNumId="15" w15:restartNumberingAfterBreak="0">
    <w:nsid w:val="16492706"/>
    <w:multiLevelType w:val="hybridMultilevel"/>
    <w:tmpl w:val="9D6CB3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188F6604"/>
    <w:multiLevelType w:val="hybridMultilevel"/>
    <w:tmpl w:val="05247B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90229B8"/>
    <w:multiLevelType w:val="hybridMultilevel"/>
    <w:tmpl w:val="4AC86D2A"/>
    <w:lvl w:ilvl="0" w:tplc="4630ECE0">
      <w:start w:val="1"/>
      <w:numFmt w:val="bullet"/>
      <w:lvlText w:val=""/>
      <w:lvlJc w:val="left"/>
      <w:pPr>
        <w:ind w:left="1440" w:hanging="360"/>
      </w:pPr>
      <w:rPr>
        <w:rFonts w:ascii="Symbol" w:hAnsi="Symbol"/>
      </w:rPr>
    </w:lvl>
    <w:lvl w:ilvl="1" w:tplc="0074D208">
      <w:start w:val="1"/>
      <w:numFmt w:val="bullet"/>
      <w:lvlText w:val=""/>
      <w:lvlJc w:val="left"/>
      <w:pPr>
        <w:ind w:left="1440" w:hanging="360"/>
      </w:pPr>
      <w:rPr>
        <w:rFonts w:ascii="Symbol" w:hAnsi="Symbol"/>
      </w:rPr>
    </w:lvl>
    <w:lvl w:ilvl="2" w:tplc="34C25372">
      <w:start w:val="1"/>
      <w:numFmt w:val="bullet"/>
      <w:lvlText w:val=""/>
      <w:lvlJc w:val="left"/>
      <w:pPr>
        <w:ind w:left="1440" w:hanging="360"/>
      </w:pPr>
      <w:rPr>
        <w:rFonts w:ascii="Symbol" w:hAnsi="Symbol"/>
      </w:rPr>
    </w:lvl>
    <w:lvl w:ilvl="3" w:tplc="C616EF24">
      <w:start w:val="1"/>
      <w:numFmt w:val="bullet"/>
      <w:lvlText w:val=""/>
      <w:lvlJc w:val="left"/>
      <w:pPr>
        <w:ind w:left="1440" w:hanging="360"/>
      </w:pPr>
      <w:rPr>
        <w:rFonts w:ascii="Symbol" w:hAnsi="Symbol"/>
      </w:rPr>
    </w:lvl>
    <w:lvl w:ilvl="4" w:tplc="C70218EA">
      <w:start w:val="1"/>
      <w:numFmt w:val="bullet"/>
      <w:lvlText w:val=""/>
      <w:lvlJc w:val="left"/>
      <w:pPr>
        <w:ind w:left="1440" w:hanging="360"/>
      </w:pPr>
      <w:rPr>
        <w:rFonts w:ascii="Symbol" w:hAnsi="Symbol"/>
      </w:rPr>
    </w:lvl>
    <w:lvl w:ilvl="5" w:tplc="242274C8">
      <w:start w:val="1"/>
      <w:numFmt w:val="bullet"/>
      <w:lvlText w:val=""/>
      <w:lvlJc w:val="left"/>
      <w:pPr>
        <w:ind w:left="1440" w:hanging="360"/>
      </w:pPr>
      <w:rPr>
        <w:rFonts w:ascii="Symbol" w:hAnsi="Symbol"/>
      </w:rPr>
    </w:lvl>
    <w:lvl w:ilvl="6" w:tplc="B91260DC">
      <w:start w:val="1"/>
      <w:numFmt w:val="bullet"/>
      <w:lvlText w:val=""/>
      <w:lvlJc w:val="left"/>
      <w:pPr>
        <w:ind w:left="1440" w:hanging="360"/>
      </w:pPr>
      <w:rPr>
        <w:rFonts w:ascii="Symbol" w:hAnsi="Symbol"/>
      </w:rPr>
    </w:lvl>
    <w:lvl w:ilvl="7" w:tplc="4E8A961E">
      <w:start w:val="1"/>
      <w:numFmt w:val="bullet"/>
      <w:lvlText w:val=""/>
      <w:lvlJc w:val="left"/>
      <w:pPr>
        <w:ind w:left="1440" w:hanging="360"/>
      </w:pPr>
      <w:rPr>
        <w:rFonts w:ascii="Symbol" w:hAnsi="Symbol"/>
      </w:rPr>
    </w:lvl>
    <w:lvl w:ilvl="8" w:tplc="9E84B1C8">
      <w:start w:val="1"/>
      <w:numFmt w:val="bullet"/>
      <w:lvlText w:val=""/>
      <w:lvlJc w:val="left"/>
      <w:pPr>
        <w:ind w:left="1440" w:hanging="360"/>
      </w:pPr>
      <w:rPr>
        <w:rFonts w:ascii="Symbol" w:hAnsi="Symbol"/>
      </w:rPr>
    </w:lvl>
  </w:abstractNum>
  <w:abstractNum w:abstractNumId="18" w15:restartNumberingAfterBreak="0">
    <w:nsid w:val="1BF96546"/>
    <w:multiLevelType w:val="hybridMultilevel"/>
    <w:tmpl w:val="FAB6BC3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D4357A9"/>
    <w:multiLevelType w:val="hybridMultilevel"/>
    <w:tmpl w:val="9BEE991E"/>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0" w15:restartNumberingAfterBreak="0">
    <w:nsid w:val="1D725C30"/>
    <w:multiLevelType w:val="hybridMultilevel"/>
    <w:tmpl w:val="6B5C174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1FDE454E"/>
    <w:multiLevelType w:val="hybridMultilevel"/>
    <w:tmpl w:val="87566C8E"/>
    <w:lvl w:ilvl="0" w:tplc="1B12EB38">
      <w:start w:val="1"/>
      <w:numFmt w:val="lowerRoman"/>
      <w:lvlText w:val="%1."/>
      <w:lvlJc w:val="left"/>
      <w:pPr>
        <w:ind w:left="1080" w:hanging="720"/>
      </w:pPr>
      <w:rPr>
        <w:rFonts w:hint="default"/>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22D742EA"/>
    <w:multiLevelType w:val="hybridMultilevel"/>
    <w:tmpl w:val="FFFFFFFF"/>
    <w:lvl w:ilvl="0" w:tplc="4A02B15E">
      <w:start w:val="1"/>
      <w:numFmt w:val="bullet"/>
      <w:lvlText w:val=""/>
      <w:lvlJc w:val="left"/>
      <w:pPr>
        <w:ind w:left="720" w:hanging="360"/>
      </w:pPr>
      <w:rPr>
        <w:rFonts w:ascii="Symbol" w:hAnsi="Symbol" w:hint="default"/>
      </w:rPr>
    </w:lvl>
    <w:lvl w:ilvl="1" w:tplc="FCB41F2E">
      <w:start w:val="1"/>
      <w:numFmt w:val="bullet"/>
      <w:lvlText w:val="o"/>
      <w:lvlJc w:val="left"/>
      <w:pPr>
        <w:ind w:left="1440" w:hanging="360"/>
      </w:pPr>
      <w:rPr>
        <w:rFonts w:ascii="Courier New" w:hAnsi="Courier New" w:hint="default"/>
      </w:rPr>
    </w:lvl>
    <w:lvl w:ilvl="2" w:tplc="89EA65EC">
      <w:start w:val="1"/>
      <w:numFmt w:val="bullet"/>
      <w:lvlText w:val=""/>
      <w:lvlJc w:val="left"/>
      <w:pPr>
        <w:ind w:left="2160" w:hanging="360"/>
      </w:pPr>
      <w:rPr>
        <w:rFonts w:ascii="Wingdings" w:hAnsi="Wingdings" w:hint="default"/>
      </w:rPr>
    </w:lvl>
    <w:lvl w:ilvl="3" w:tplc="992233F4">
      <w:start w:val="1"/>
      <w:numFmt w:val="bullet"/>
      <w:lvlText w:val=""/>
      <w:lvlJc w:val="left"/>
      <w:pPr>
        <w:ind w:left="2880" w:hanging="360"/>
      </w:pPr>
      <w:rPr>
        <w:rFonts w:ascii="Symbol" w:hAnsi="Symbol" w:hint="default"/>
      </w:rPr>
    </w:lvl>
    <w:lvl w:ilvl="4" w:tplc="8C12F8CC">
      <w:start w:val="1"/>
      <w:numFmt w:val="bullet"/>
      <w:lvlText w:val="o"/>
      <w:lvlJc w:val="left"/>
      <w:pPr>
        <w:ind w:left="3600" w:hanging="360"/>
      </w:pPr>
      <w:rPr>
        <w:rFonts w:ascii="Courier New" w:hAnsi="Courier New" w:hint="default"/>
      </w:rPr>
    </w:lvl>
    <w:lvl w:ilvl="5" w:tplc="628ABC78">
      <w:start w:val="1"/>
      <w:numFmt w:val="bullet"/>
      <w:lvlText w:val=""/>
      <w:lvlJc w:val="left"/>
      <w:pPr>
        <w:ind w:left="4320" w:hanging="360"/>
      </w:pPr>
      <w:rPr>
        <w:rFonts w:ascii="Wingdings" w:hAnsi="Wingdings" w:hint="default"/>
      </w:rPr>
    </w:lvl>
    <w:lvl w:ilvl="6" w:tplc="D69E2E2E">
      <w:start w:val="1"/>
      <w:numFmt w:val="bullet"/>
      <w:lvlText w:val=""/>
      <w:lvlJc w:val="left"/>
      <w:pPr>
        <w:ind w:left="5040" w:hanging="360"/>
      </w:pPr>
      <w:rPr>
        <w:rFonts w:ascii="Symbol" w:hAnsi="Symbol" w:hint="default"/>
      </w:rPr>
    </w:lvl>
    <w:lvl w:ilvl="7" w:tplc="E766D248">
      <w:start w:val="1"/>
      <w:numFmt w:val="bullet"/>
      <w:lvlText w:val="o"/>
      <w:lvlJc w:val="left"/>
      <w:pPr>
        <w:ind w:left="5760" w:hanging="360"/>
      </w:pPr>
      <w:rPr>
        <w:rFonts w:ascii="Courier New" w:hAnsi="Courier New" w:hint="default"/>
      </w:rPr>
    </w:lvl>
    <w:lvl w:ilvl="8" w:tplc="A3DCAA92">
      <w:start w:val="1"/>
      <w:numFmt w:val="bullet"/>
      <w:lvlText w:val=""/>
      <w:lvlJc w:val="left"/>
      <w:pPr>
        <w:ind w:left="6480" w:hanging="360"/>
      </w:pPr>
      <w:rPr>
        <w:rFonts w:ascii="Wingdings" w:hAnsi="Wingdings" w:hint="default"/>
      </w:rPr>
    </w:lvl>
  </w:abstractNum>
  <w:abstractNum w:abstractNumId="23" w15:restartNumberingAfterBreak="0">
    <w:nsid w:val="242A1834"/>
    <w:multiLevelType w:val="hybridMultilevel"/>
    <w:tmpl w:val="600ABCA6"/>
    <w:lvl w:ilvl="0" w:tplc="BEEE27AE">
      <w:start w:val="1"/>
      <w:numFmt w:val="bullet"/>
      <w:lvlText w:val=""/>
      <w:lvlJc w:val="left"/>
      <w:pPr>
        <w:ind w:left="720" w:hanging="360"/>
      </w:pPr>
      <w:rPr>
        <w:rFonts w:ascii="Symbol" w:hAnsi="Symbol"/>
      </w:rPr>
    </w:lvl>
    <w:lvl w:ilvl="1" w:tplc="8C20366C">
      <w:start w:val="1"/>
      <w:numFmt w:val="bullet"/>
      <w:lvlText w:val=""/>
      <w:lvlJc w:val="left"/>
      <w:pPr>
        <w:ind w:left="720" w:hanging="360"/>
      </w:pPr>
      <w:rPr>
        <w:rFonts w:ascii="Symbol" w:hAnsi="Symbol"/>
      </w:rPr>
    </w:lvl>
    <w:lvl w:ilvl="2" w:tplc="35E26874">
      <w:start w:val="1"/>
      <w:numFmt w:val="bullet"/>
      <w:lvlText w:val=""/>
      <w:lvlJc w:val="left"/>
      <w:pPr>
        <w:ind w:left="720" w:hanging="360"/>
      </w:pPr>
      <w:rPr>
        <w:rFonts w:ascii="Symbol" w:hAnsi="Symbol"/>
      </w:rPr>
    </w:lvl>
    <w:lvl w:ilvl="3" w:tplc="8F6CC77E">
      <w:start w:val="1"/>
      <w:numFmt w:val="bullet"/>
      <w:lvlText w:val=""/>
      <w:lvlJc w:val="left"/>
      <w:pPr>
        <w:ind w:left="720" w:hanging="360"/>
      </w:pPr>
      <w:rPr>
        <w:rFonts w:ascii="Symbol" w:hAnsi="Symbol"/>
      </w:rPr>
    </w:lvl>
    <w:lvl w:ilvl="4" w:tplc="BF0CDE82">
      <w:start w:val="1"/>
      <w:numFmt w:val="bullet"/>
      <w:lvlText w:val=""/>
      <w:lvlJc w:val="left"/>
      <w:pPr>
        <w:ind w:left="720" w:hanging="360"/>
      </w:pPr>
      <w:rPr>
        <w:rFonts w:ascii="Symbol" w:hAnsi="Symbol"/>
      </w:rPr>
    </w:lvl>
    <w:lvl w:ilvl="5" w:tplc="DB6EA64C">
      <w:start w:val="1"/>
      <w:numFmt w:val="bullet"/>
      <w:lvlText w:val=""/>
      <w:lvlJc w:val="left"/>
      <w:pPr>
        <w:ind w:left="720" w:hanging="360"/>
      </w:pPr>
      <w:rPr>
        <w:rFonts w:ascii="Symbol" w:hAnsi="Symbol"/>
      </w:rPr>
    </w:lvl>
    <w:lvl w:ilvl="6" w:tplc="4FB66E9A">
      <w:start w:val="1"/>
      <w:numFmt w:val="bullet"/>
      <w:lvlText w:val=""/>
      <w:lvlJc w:val="left"/>
      <w:pPr>
        <w:ind w:left="720" w:hanging="360"/>
      </w:pPr>
      <w:rPr>
        <w:rFonts w:ascii="Symbol" w:hAnsi="Symbol"/>
      </w:rPr>
    </w:lvl>
    <w:lvl w:ilvl="7" w:tplc="9EF6F46A">
      <w:start w:val="1"/>
      <w:numFmt w:val="bullet"/>
      <w:lvlText w:val=""/>
      <w:lvlJc w:val="left"/>
      <w:pPr>
        <w:ind w:left="720" w:hanging="360"/>
      </w:pPr>
      <w:rPr>
        <w:rFonts w:ascii="Symbol" w:hAnsi="Symbol"/>
      </w:rPr>
    </w:lvl>
    <w:lvl w:ilvl="8" w:tplc="07CA447E">
      <w:start w:val="1"/>
      <w:numFmt w:val="bullet"/>
      <w:lvlText w:val=""/>
      <w:lvlJc w:val="left"/>
      <w:pPr>
        <w:ind w:left="720" w:hanging="360"/>
      </w:pPr>
      <w:rPr>
        <w:rFonts w:ascii="Symbol" w:hAnsi="Symbol"/>
      </w:rPr>
    </w:lvl>
  </w:abstractNum>
  <w:abstractNum w:abstractNumId="24" w15:restartNumberingAfterBreak="0">
    <w:nsid w:val="27452D9C"/>
    <w:multiLevelType w:val="hybridMultilevel"/>
    <w:tmpl w:val="A004447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27540028"/>
    <w:multiLevelType w:val="hybridMultilevel"/>
    <w:tmpl w:val="541E6EC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280F0AE7"/>
    <w:multiLevelType w:val="hybridMultilevel"/>
    <w:tmpl w:val="8D4868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293A61F6"/>
    <w:multiLevelType w:val="hybridMultilevel"/>
    <w:tmpl w:val="8990D37A"/>
    <w:lvl w:ilvl="0" w:tplc="48090017">
      <w:start w:val="1"/>
      <w:numFmt w:val="lowerLetter"/>
      <w:lvlText w:val="%1)"/>
      <w:lvlJc w:val="left"/>
      <w:pPr>
        <w:ind w:left="720" w:hanging="360"/>
      </w:pPr>
      <w:rPr>
        <w:rFonts w:hint="default"/>
      </w:rPr>
    </w:lvl>
    <w:lvl w:ilvl="1" w:tplc="7C8432E6">
      <w:numFmt w:val="bullet"/>
      <w:lvlText w:val="•"/>
      <w:lvlJc w:val="left"/>
      <w:pPr>
        <w:ind w:left="1800" w:hanging="720"/>
      </w:pPr>
      <w:rPr>
        <w:rFonts w:ascii="Calibri" w:eastAsiaTheme="minorHAnsi" w:hAnsi="Calibri" w:cs="Calibri"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2AAD6E3F"/>
    <w:multiLevelType w:val="hybridMultilevel"/>
    <w:tmpl w:val="5D9EE2C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2C254AB7"/>
    <w:multiLevelType w:val="hybridMultilevel"/>
    <w:tmpl w:val="49721D4E"/>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0" w15:restartNumberingAfterBreak="0">
    <w:nsid w:val="2DAC5C42"/>
    <w:multiLevelType w:val="hybridMultilevel"/>
    <w:tmpl w:val="D2F69DA0"/>
    <w:lvl w:ilvl="0" w:tplc="48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DF67954"/>
    <w:multiLevelType w:val="hybridMultilevel"/>
    <w:tmpl w:val="034E1D26"/>
    <w:lvl w:ilvl="0" w:tplc="0FF806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B91C94"/>
    <w:multiLevelType w:val="hybridMultilevel"/>
    <w:tmpl w:val="0B40DA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30D80AD6"/>
    <w:multiLevelType w:val="hybridMultilevel"/>
    <w:tmpl w:val="A6F818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32F50D50"/>
    <w:multiLevelType w:val="hybridMultilevel"/>
    <w:tmpl w:val="36DACCC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38C81FAC"/>
    <w:multiLevelType w:val="hybridMultilevel"/>
    <w:tmpl w:val="DCC885C6"/>
    <w:lvl w:ilvl="0" w:tplc="48090019">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398D2173"/>
    <w:multiLevelType w:val="hybridMultilevel"/>
    <w:tmpl w:val="7F88E38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3B9F7345"/>
    <w:multiLevelType w:val="hybridMultilevel"/>
    <w:tmpl w:val="76C252A6"/>
    <w:lvl w:ilvl="0" w:tplc="4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C3D21F7"/>
    <w:multiLevelType w:val="hybridMultilevel"/>
    <w:tmpl w:val="B6627D2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3D8728F7"/>
    <w:multiLevelType w:val="hybridMultilevel"/>
    <w:tmpl w:val="69E29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4154B0"/>
    <w:multiLevelType w:val="hybridMultilevel"/>
    <w:tmpl w:val="5972E96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418125B2"/>
    <w:multiLevelType w:val="hybridMultilevel"/>
    <w:tmpl w:val="380A2E20"/>
    <w:lvl w:ilvl="0" w:tplc="EB86184C">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420C06D0"/>
    <w:multiLevelType w:val="hybridMultilevel"/>
    <w:tmpl w:val="231C3756"/>
    <w:lvl w:ilvl="0" w:tplc="EB86184C">
      <w:start w:val="1"/>
      <w:numFmt w:val="lowerRoman"/>
      <w:lvlText w:val="%1."/>
      <w:lvlJc w:val="left"/>
      <w:pPr>
        <w:ind w:left="1080" w:hanging="72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42AA36D3"/>
    <w:multiLevelType w:val="hybridMultilevel"/>
    <w:tmpl w:val="8B280B1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45657251"/>
    <w:multiLevelType w:val="hybridMultilevel"/>
    <w:tmpl w:val="69543B2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463B1B30"/>
    <w:multiLevelType w:val="hybridMultilevel"/>
    <w:tmpl w:val="D4B80D3A"/>
    <w:lvl w:ilvl="0" w:tplc="EB8618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49451D3D"/>
    <w:multiLevelType w:val="hybridMultilevel"/>
    <w:tmpl w:val="A6883264"/>
    <w:lvl w:ilvl="0" w:tplc="2F20467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EB1170"/>
    <w:multiLevelType w:val="hybridMultilevel"/>
    <w:tmpl w:val="28AC943E"/>
    <w:lvl w:ilvl="0" w:tplc="0DE69FF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4D5D2E82"/>
    <w:multiLevelType w:val="hybridMultilevel"/>
    <w:tmpl w:val="F398BA9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9" w15:restartNumberingAfterBreak="0">
    <w:nsid w:val="4EEC0514"/>
    <w:multiLevelType w:val="hybridMultilevel"/>
    <w:tmpl w:val="F792613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50" w15:restartNumberingAfterBreak="0">
    <w:nsid w:val="528629FE"/>
    <w:multiLevelType w:val="hybridMultilevel"/>
    <w:tmpl w:val="474CB6E4"/>
    <w:lvl w:ilvl="0" w:tplc="B3C04E8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3B34287"/>
    <w:multiLevelType w:val="hybridMultilevel"/>
    <w:tmpl w:val="EBF8381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53CD3881"/>
    <w:multiLevelType w:val="hybridMultilevel"/>
    <w:tmpl w:val="C9A07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2C5358"/>
    <w:multiLevelType w:val="hybridMultilevel"/>
    <w:tmpl w:val="7DFA4C22"/>
    <w:lvl w:ilvl="0" w:tplc="6658B502">
      <w:start w:val="1"/>
      <w:numFmt w:val="lowerLetter"/>
      <w:lvlText w:val="%1."/>
      <w:lvlJc w:val="left"/>
      <w:pPr>
        <w:ind w:left="720" w:hanging="360"/>
      </w:pPr>
      <w:rPr>
        <w:rFonts w:asciiTheme="minorHAnsi" w:eastAsiaTheme="minorHAnsi" w:hAnsiTheme="minorHAnsi" w:cstheme="minorBidi" w:hint="default"/>
        <w:b w:val="0"/>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8357F4"/>
    <w:multiLevelType w:val="hybridMultilevel"/>
    <w:tmpl w:val="AB7AE510"/>
    <w:lvl w:ilvl="0" w:tplc="5B624D60">
      <w:start w:val="1"/>
      <w:numFmt w:val="lowerRoman"/>
      <w:lvlText w:val="%1."/>
      <w:lvlJc w:val="left"/>
      <w:pPr>
        <w:ind w:left="8234" w:hanging="72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56DD2274"/>
    <w:multiLevelType w:val="hybridMultilevel"/>
    <w:tmpl w:val="0680C030"/>
    <w:lvl w:ilvl="0" w:tplc="8474B980">
      <w:start w:val="1"/>
      <w:numFmt w:val="bullet"/>
      <w:lvlText w:val=""/>
      <w:lvlJc w:val="left"/>
      <w:pPr>
        <w:ind w:left="720" w:hanging="360"/>
      </w:pPr>
      <w:rPr>
        <w:rFonts w:ascii="Symbol" w:hAnsi="Symbol"/>
      </w:rPr>
    </w:lvl>
    <w:lvl w:ilvl="1" w:tplc="FD1E025E">
      <w:start w:val="1"/>
      <w:numFmt w:val="bullet"/>
      <w:lvlText w:val=""/>
      <w:lvlJc w:val="left"/>
      <w:pPr>
        <w:ind w:left="720" w:hanging="360"/>
      </w:pPr>
      <w:rPr>
        <w:rFonts w:ascii="Symbol" w:hAnsi="Symbol"/>
      </w:rPr>
    </w:lvl>
    <w:lvl w:ilvl="2" w:tplc="2326C36A">
      <w:start w:val="1"/>
      <w:numFmt w:val="bullet"/>
      <w:lvlText w:val=""/>
      <w:lvlJc w:val="left"/>
      <w:pPr>
        <w:ind w:left="720" w:hanging="360"/>
      </w:pPr>
      <w:rPr>
        <w:rFonts w:ascii="Symbol" w:hAnsi="Symbol"/>
      </w:rPr>
    </w:lvl>
    <w:lvl w:ilvl="3" w:tplc="2FA8B0E2">
      <w:start w:val="1"/>
      <w:numFmt w:val="bullet"/>
      <w:lvlText w:val=""/>
      <w:lvlJc w:val="left"/>
      <w:pPr>
        <w:ind w:left="720" w:hanging="360"/>
      </w:pPr>
      <w:rPr>
        <w:rFonts w:ascii="Symbol" w:hAnsi="Symbol"/>
      </w:rPr>
    </w:lvl>
    <w:lvl w:ilvl="4" w:tplc="5BFC312E">
      <w:start w:val="1"/>
      <w:numFmt w:val="bullet"/>
      <w:lvlText w:val=""/>
      <w:lvlJc w:val="left"/>
      <w:pPr>
        <w:ind w:left="720" w:hanging="360"/>
      </w:pPr>
      <w:rPr>
        <w:rFonts w:ascii="Symbol" w:hAnsi="Symbol"/>
      </w:rPr>
    </w:lvl>
    <w:lvl w:ilvl="5" w:tplc="2E3638B0">
      <w:start w:val="1"/>
      <w:numFmt w:val="bullet"/>
      <w:lvlText w:val=""/>
      <w:lvlJc w:val="left"/>
      <w:pPr>
        <w:ind w:left="720" w:hanging="360"/>
      </w:pPr>
      <w:rPr>
        <w:rFonts w:ascii="Symbol" w:hAnsi="Symbol"/>
      </w:rPr>
    </w:lvl>
    <w:lvl w:ilvl="6" w:tplc="25D85112">
      <w:start w:val="1"/>
      <w:numFmt w:val="bullet"/>
      <w:lvlText w:val=""/>
      <w:lvlJc w:val="left"/>
      <w:pPr>
        <w:ind w:left="720" w:hanging="360"/>
      </w:pPr>
      <w:rPr>
        <w:rFonts w:ascii="Symbol" w:hAnsi="Symbol"/>
      </w:rPr>
    </w:lvl>
    <w:lvl w:ilvl="7" w:tplc="AC50108A">
      <w:start w:val="1"/>
      <w:numFmt w:val="bullet"/>
      <w:lvlText w:val=""/>
      <w:lvlJc w:val="left"/>
      <w:pPr>
        <w:ind w:left="720" w:hanging="360"/>
      </w:pPr>
      <w:rPr>
        <w:rFonts w:ascii="Symbol" w:hAnsi="Symbol"/>
      </w:rPr>
    </w:lvl>
    <w:lvl w:ilvl="8" w:tplc="FF6EC76A">
      <w:start w:val="1"/>
      <w:numFmt w:val="bullet"/>
      <w:lvlText w:val=""/>
      <w:lvlJc w:val="left"/>
      <w:pPr>
        <w:ind w:left="720" w:hanging="360"/>
      </w:pPr>
      <w:rPr>
        <w:rFonts w:ascii="Symbol" w:hAnsi="Symbol"/>
      </w:rPr>
    </w:lvl>
  </w:abstractNum>
  <w:abstractNum w:abstractNumId="56" w15:restartNumberingAfterBreak="0">
    <w:nsid w:val="57E23167"/>
    <w:multiLevelType w:val="hybridMultilevel"/>
    <w:tmpl w:val="2BD8604A"/>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C4B6910"/>
    <w:multiLevelType w:val="hybridMultilevel"/>
    <w:tmpl w:val="C764E7E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5C9D321A"/>
    <w:multiLevelType w:val="hybridMultilevel"/>
    <w:tmpl w:val="56AEC0FE"/>
    <w:lvl w:ilvl="0" w:tplc="48090001">
      <w:start w:val="1"/>
      <w:numFmt w:val="bullet"/>
      <w:lvlText w:val=""/>
      <w:lvlJc w:val="left"/>
      <w:pPr>
        <w:ind w:left="1080" w:hanging="360"/>
      </w:pPr>
      <w:rPr>
        <w:rFonts w:ascii="Symbol" w:hAnsi="Symbol"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59" w15:restartNumberingAfterBreak="0">
    <w:nsid w:val="5ED55C86"/>
    <w:multiLevelType w:val="hybridMultilevel"/>
    <w:tmpl w:val="E7E4966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5F0D4818"/>
    <w:multiLevelType w:val="hybridMultilevel"/>
    <w:tmpl w:val="E74870FA"/>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61" w15:restartNumberingAfterBreak="0">
    <w:nsid w:val="61247333"/>
    <w:multiLevelType w:val="hybridMultilevel"/>
    <w:tmpl w:val="8AF8D96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2" w15:restartNumberingAfterBreak="0">
    <w:nsid w:val="6140129B"/>
    <w:multiLevelType w:val="hybridMultilevel"/>
    <w:tmpl w:val="5CA0E85C"/>
    <w:lvl w:ilvl="0" w:tplc="EB8618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62385638"/>
    <w:multiLevelType w:val="hybridMultilevel"/>
    <w:tmpl w:val="3BE8A2A2"/>
    <w:lvl w:ilvl="0" w:tplc="4C88743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2DD1522"/>
    <w:multiLevelType w:val="hybridMultilevel"/>
    <w:tmpl w:val="FABA4F9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5" w15:restartNumberingAfterBreak="0">
    <w:nsid w:val="644879A2"/>
    <w:multiLevelType w:val="hybridMultilevel"/>
    <w:tmpl w:val="24BCADC2"/>
    <w:lvl w:ilvl="0" w:tplc="849E3604">
      <w:start w:val="1"/>
      <w:numFmt w:val="lowerLetter"/>
      <w:lvlText w:val="%1)"/>
      <w:lvlJc w:val="left"/>
      <w:pPr>
        <w:ind w:left="1020" w:hanging="360"/>
      </w:pPr>
    </w:lvl>
    <w:lvl w:ilvl="1" w:tplc="B40EFAF4">
      <w:start w:val="1"/>
      <w:numFmt w:val="lowerLetter"/>
      <w:lvlText w:val="%2)"/>
      <w:lvlJc w:val="left"/>
      <w:pPr>
        <w:ind w:left="1020" w:hanging="360"/>
      </w:pPr>
    </w:lvl>
    <w:lvl w:ilvl="2" w:tplc="F7FE5F84">
      <w:start w:val="1"/>
      <w:numFmt w:val="lowerLetter"/>
      <w:lvlText w:val="%3)"/>
      <w:lvlJc w:val="left"/>
      <w:pPr>
        <w:ind w:left="1020" w:hanging="360"/>
      </w:pPr>
    </w:lvl>
    <w:lvl w:ilvl="3" w:tplc="AA1C72D8">
      <w:start w:val="1"/>
      <w:numFmt w:val="lowerLetter"/>
      <w:lvlText w:val="%4)"/>
      <w:lvlJc w:val="left"/>
      <w:pPr>
        <w:ind w:left="1020" w:hanging="360"/>
      </w:pPr>
    </w:lvl>
    <w:lvl w:ilvl="4" w:tplc="41B07C7E">
      <w:start w:val="1"/>
      <w:numFmt w:val="lowerLetter"/>
      <w:lvlText w:val="%5)"/>
      <w:lvlJc w:val="left"/>
      <w:pPr>
        <w:ind w:left="1020" w:hanging="360"/>
      </w:pPr>
    </w:lvl>
    <w:lvl w:ilvl="5" w:tplc="5866C3BC">
      <w:start w:val="1"/>
      <w:numFmt w:val="lowerLetter"/>
      <w:lvlText w:val="%6)"/>
      <w:lvlJc w:val="left"/>
      <w:pPr>
        <w:ind w:left="1020" w:hanging="360"/>
      </w:pPr>
    </w:lvl>
    <w:lvl w:ilvl="6" w:tplc="AE487B7C">
      <w:start w:val="1"/>
      <w:numFmt w:val="lowerLetter"/>
      <w:lvlText w:val="%7)"/>
      <w:lvlJc w:val="left"/>
      <w:pPr>
        <w:ind w:left="1020" w:hanging="360"/>
      </w:pPr>
    </w:lvl>
    <w:lvl w:ilvl="7" w:tplc="AF0CF59A">
      <w:start w:val="1"/>
      <w:numFmt w:val="lowerLetter"/>
      <w:lvlText w:val="%8)"/>
      <w:lvlJc w:val="left"/>
      <w:pPr>
        <w:ind w:left="1020" w:hanging="360"/>
      </w:pPr>
    </w:lvl>
    <w:lvl w:ilvl="8" w:tplc="D034E8C0">
      <w:start w:val="1"/>
      <w:numFmt w:val="lowerLetter"/>
      <w:lvlText w:val="%9)"/>
      <w:lvlJc w:val="left"/>
      <w:pPr>
        <w:ind w:left="1020" w:hanging="360"/>
      </w:pPr>
    </w:lvl>
  </w:abstractNum>
  <w:abstractNum w:abstractNumId="66" w15:restartNumberingAfterBreak="0">
    <w:nsid w:val="6687084B"/>
    <w:multiLevelType w:val="hybridMultilevel"/>
    <w:tmpl w:val="A32694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70F03A0"/>
    <w:multiLevelType w:val="hybridMultilevel"/>
    <w:tmpl w:val="4164E38A"/>
    <w:lvl w:ilvl="0" w:tplc="C33C4924">
      <w:start w:val="1"/>
      <w:numFmt w:val="lowerLetter"/>
      <w:lvlText w:val="%1)"/>
      <w:lvlJc w:val="left"/>
      <w:pPr>
        <w:ind w:left="900" w:hanging="360"/>
      </w:pPr>
      <w:rPr>
        <w:rFonts w:hint="default"/>
        <w:b/>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675F7E8E"/>
    <w:multiLevelType w:val="hybridMultilevel"/>
    <w:tmpl w:val="E8A6C206"/>
    <w:lvl w:ilvl="0" w:tplc="5CC67FA4">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69" w15:restartNumberingAfterBreak="0">
    <w:nsid w:val="68111FF7"/>
    <w:multiLevelType w:val="hybridMultilevel"/>
    <w:tmpl w:val="410A8E9E"/>
    <w:lvl w:ilvl="0" w:tplc="02DAE5C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0" w15:restartNumberingAfterBreak="0">
    <w:nsid w:val="68537E6C"/>
    <w:multiLevelType w:val="hybridMultilevel"/>
    <w:tmpl w:val="A7DAE516"/>
    <w:lvl w:ilvl="0" w:tplc="F89ADDBC">
      <w:start w:val="1"/>
      <w:numFmt w:val="lowerLetter"/>
      <w:lvlText w:val="%1)"/>
      <w:lvlJc w:val="left"/>
      <w:pPr>
        <w:ind w:left="1020" w:hanging="360"/>
      </w:pPr>
    </w:lvl>
    <w:lvl w:ilvl="1" w:tplc="339E97D6">
      <w:start w:val="1"/>
      <w:numFmt w:val="lowerLetter"/>
      <w:lvlText w:val="%2)"/>
      <w:lvlJc w:val="left"/>
      <w:pPr>
        <w:ind w:left="1020" w:hanging="360"/>
      </w:pPr>
    </w:lvl>
    <w:lvl w:ilvl="2" w:tplc="53DC7FEE">
      <w:start w:val="1"/>
      <w:numFmt w:val="lowerLetter"/>
      <w:lvlText w:val="%3)"/>
      <w:lvlJc w:val="left"/>
      <w:pPr>
        <w:ind w:left="1020" w:hanging="360"/>
      </w:pPr>
    </w:lvl>
    <w:lvl w:ilvl="3" w:tplc="6D468B52">
      <w:start w:val="1"/>
      <w:numFmt w:val="lowerLetter"/>
      <w:lvlText w:val="%4)"/>
      <w:lvlJc w:val="left"/>
      <w:pPr>
        <w:ind w:left="1020" w:hanging="360"/>
      </w:pPr>
    </w:lvl>
    <w:lvl w:ilvl="4" w:tplc="55C87614">
      <w:start w:val="1"/>
      <w:numFmt w:val="lowerLetter"/>
      <w:lvlText w:val="%5)"/>
      <w:lvlJc w:val="left"/>
      <w:pPr>
        <w:ind w:left="1020" w:hanging="360"/>
      </w:pPr>
    </w:lvl>
    <w:lvl w:ilvl="5" w:tplc="59A6B212">
      <w:start w:val="1"/>
      <w:numFmt w:val="lowerLetter"/>
      <w:lvlText w:val="%6)"/>
      <w:lvlJc w:val="left"/>
      <w:pPr>
        <w:ind w:left="1020" w:hanging="360"/>
      </w:pPr>
    </w:lvl>
    <w:lvl w:ilvl="6" w:tplc="D368E81E">
      <w:start w:val="1"/>
      <w:numFmt w:val="lowerLetter"/>
      <w:lvlText w:val="%7)"/>
      <w:lvlJc w:val="left"/>
      <w:pPr>
        <w:ind w:left="1020" w:hanging="360"/>
      </w:pPr>
    </w:lvl>
    <w:lvl w:ilvl="7" w:tplc="5156E0DA">
      <w:start w:val="1"/>
      <w:numFmt w:val="lowerLetter"/>
      <w:lvlText w:val="%8)"/>
      <w:lvlJc w:val="left"/>
      <w:pPr>
        <w:ind w:left="1020" w:hanging="360"/>
      </w:pPr>
    </w:lvl>
    <w:lvl w:ilvl="8" w:tplc="CDDC0A60">
      <w:start w:val="1"/>
      <w:numFmt w:val="lowerLetter"/>
      <w:lvlText w:val="%9)"/>
      <w:lvlJc w:val="left"/>
      <w:pPr>
        <w:ind w:left="1020" w:hanging="360"/>
      </w:pPr>
    </w:lvl>
  </w:abstractNum>
  <w:abstractNum w:abstractNumId="71" w15:restartNumberingAfterBreak="0">
    <w:nsid w:val="6CAE0B3A"/>
    <w:multiLevelType w:val="hybridMultilevel"/>
    <w:tmpl w:val="AB8A532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2" w15:restartNumberingAfterBreak="0">
    <w:nsid w:val="6CBE11FC"/>
    <w:multiLevelType w:val="hybridMultilevel"/>
    <w:tmpl w:val="83C25322"/>
    <w:lvl w:ilvl="0" w:tplc="7E480894">
      <w:start w:val="1"/>
      <w:numFmt w:val="lowerRoman"/>
      <w:lvlText w:val="%1."/>
      <w:lvlJc w:val="left"/>
      <w:pPr>
        <w:ind w:left="1080" w:hanging="720"/>
      </w:pPr>
      <w:rPr>
        <w:rFonts w:hint="default"/>
        <w:i/>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15:restartNumberingAfterBreak="0">
    <w:nsid w:val="6FDB01DB"/>
    <w:multiLevelType w:val="hybridMultilevel"/>
    <w:tmpl w:val="C706DDA8"/>
    <w:lvl w:ilvl="0" w:tplc="28CA4F9E">
      <w:start w:val="1"/>
      <w:numFmt w:val="lowerLetter"/>
      <w:lvlText w:val="%1)"/>
      <w:lvlJc w:val="left"/>
      <w:pPr>
        <w:ind w:left="1020" w:hanging="360"/>
      </w:pPr>
    </w:lvl>
    <w:lvl w:ilvl="1" w:tplc="E6A009DE">
      <w:start w:val="1"/>
      <w:numFmt w:val="lowerLetter"/>
      <w:lvlText w:val="%2)"/>
      <w:lvlJc w:val="left"/>
      <w:pPr>
        <w:ind w:left="1020" w:hanging="360"/>
      </w:pPr>
    </w:lvl>
    <w:lvl w:ilvl="2" w:tplc="F79EECB8">
      <w:start w:val="1"/>
      <w:numFmt w:val="lowerLetter"/>
      <w:lvlText w:val="%3)"/>
      <w:lvlJc w:val="left"/>
      <w:pPr>
        <w:ind w:left="1020" w:hanging="360"/>
      </w:pPr>
    </w:lvl>
    <w:lvl w:ilvl="3" w:tplc="F8D6BD1A">
      <w:start w:val="1"/>
      <w:numFmt w:val="lowerLetter"/>
      <w:lvlText w:val="%4)"/>
      <w:lvlJc w:val="left"/>
      <w:pPr>
        <w:ind w:left="1020" w:hanging="360"/>
      </w:pPr>
    </w:lvl>
    <w:lvl w:ilvl="4" w:tplc="18FCFEF0">
      <w:start w:val="1"/>
      <w:numFmt w:val="lowerLetter"/>
      <w:lvlText w:val="%5)"/>
      <w:lvlJc w:val="left"/>
      <w:pPr>
        <w:ind w:left="1020" w:hanging="360"/>
      </w:pPr>
    </w:lvl>
    <w:lvl w:ilvl="5" w:tplc="D84C93A8">
      <w:start w:val="1"/>
      <w:numFmt w:val="lowerLetter"/>
      <w:lvlText w:val="%6)"/>
      <w:lvlJc w:val="left"/>
      <w:pPr>
        <w:ind w:left="1020" w:hanging="360"/>
      </w:pPr>
    </w:lvl>
    <w:lvl w:ilvl="6" w:tplc="1A6AB6E0">
      <w:start w:val="1"/>
      <w:numFmt w:val="lowerLetter"/>
      <w:lvlText w:val="%7)"/>
      <w:lvlJc w:val="left"/>
      <w:pPr>
        <w:ind w:left="1020" w:hanging="360"/>
      </w:pPr>
    </w:lvl>
    <w:lvl w:ilvl="7" w:tplc="35322B5A">
      <w:start w:val="1"/>
      <w:numFmt w:val="lowerLetter"/>
      <w:lvlText w:val="%8)"/>
      <w:lvlJc w:val="left"/>
      <w:pPr>
        <w:ind w:left="1020" w:hanging="360"/>
      </w:pPr>
    </w:lvl>
    <w:lvl w:ilvl="8" w:tplc="923A4EFC">
      <w:start w:val="1"/>
      <w:numFmt w:val="lowerLetter"/>
      <w:lvlText w:val="%9)"/>
      <w:lvlJc w:val="left"/>
      <w:pPr>
        <w:ind w:left="1020" w:hanging="360"/>
      </w:pPr>
    </w:lvl>
  </w:abstractNum>
  <w:abstractNum w:abstractNumId="74" w15:restartNumberingAfterBreak="0">
    <w:nsid w:val="6FE60988"/>
    <w:multiLevelType w:val="hybridMultilevel"/>
    <w:tmpl w:val="B9D804E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5" w15:restartNumberingAfterBreak="0">
    <w:nsid w:val="7015830B"/>
    <w:multiLevelType w:val="hybridMultilevel"/>
    <w:tmpl w:val="FFFFFFFF"/>
    <w:lvl w:ilvl="0" w:tplc="2D464D08">
      <w:start w:val="1"/>
      <w:numFmt w:val="bullet"/>
      <w:lvlText w:val=""/>
      <w:lvlJc w:val="left"/>
      <w:pPr>
        <w:ind w:left="720" w:hanging="360"/>
      </w:pPr>
      <w:rPr>
        <w:rFonts w:ascii="Symbol" w:hAnsi="Symbol" w:hint="default"/>
      </w:rPr>
    </w:lvl>
    <w:lvl w:ilvl="1" w:tplc="7E1A0ADC">
      <w:start w:val="1"/>
      <w:numFmt w:val="bullet"/>
      <w:lvlText w:val="o"/>
      <w:lvlJc w:val="left"/>
      <w:pPr>
        <w:ind w:left="1440" w:hanging="360"/>
      </w:pPr>
      <w:rPr>
        <w:rFonts w:ascii="Courier New" w:hAnsi="Courier New" w:hint="default"/>
      </w:rPr>
    </w:lvl>
    <w:lvl w:ilvl="2" w:tplc="F6B417EC">
      <w:start w:val="1"/>
      <w:numFmt w:val="bullet"/>
      <w:lvlText w:val=""/>
      <w:lvlJc w:val="left"/>
      <w:pPr>
        <w:ind w:left="2160" w:hanging="360"/>
      </w:pPr>
      <w:rPr>
        <w:rFonts w:ascii="Wingdings" w:hAnsi="Wingdings" w:hint="default"/>
      </w:rPr>
    </w:lvl>
    <w:lvl w:ilvl="3" w:tplc="09602924">
      <w:start w:val="1"/>
      <w:numFmt w:val="bullet"/>
      <w:lvlText w:val=""/>
      <w:lvlJc w:val="left"/>
      <w:pPr>
        <w:ind w:left="2880" w:hanging="360"/>
      </w:pPr>
      <w:rPr>
        <w:rFonts w:ascii="Symbol" w:hAnsi="Symbol" w:hint="default"/>
      </w:rPr>
    </w:lvl>
    <w:lvl w:ilvl="4" w:tplc="B718A5FE">
      <w:start w:val="1"/>
      <w:numFmt w:val="bullet"/>
      <w:lvlText w:val="o"/>
      <w:lvlJc w:val="left"/>
      <w:pPr>
        <w:ind w:left="3600" w:hanging="360"/>
      </w:pPr>
      <w:rPr>
        <w:rFonts w:ascii="Courier New" w:hAnsi="Courier New" w:hint="default"/>
      </w:rPr>
    </w:lvl>
    <w:lvl w:ilvl="5" w:tplc="98AA5B6E">
      <w:start w:val="1"/>
      <w:numFmt w:val="bullet"/>
      <w:lvlText w:val=""/>
      <w:lvlJc w:val="left"/>
      <w:pPr>
        <w:ind w:left="4320" w:hanging="360"/>
      </w:pPr>
      <w:rPr>
        <w:rFonts w:ascii="Wingdings" w:hAnsi="Wingdings" w:hint="default"/>
      </w:rPr>
    </w:lvl>
    <w:lvl w:ilvl="6" w:tplc="F63E6FD4">
      <w:start w:val="1"/>
      <w:numFmt w:val="bullet"/>
      <w:lvlText w:val=""/>
      <w:lvlJc w:val="left"/>
      <w:pPr>
        <w:ind w:left="5040" w:hanging="360"/>
      </w:pPr>
      <w:rPr>
        <w:rFonts w:ascii="Symbol" w:hAnsi="Symbol" w:hint="default"/>
      </w:rPr>
    </w:lvl>
    <w:lvl w:ilvl="7" w:tplc="875E9888">
      <w:start w:val="1"/>
      <w:numFmt w:val="bullet"/>
      <w:lvlText w:val="o"/>
      <w:lvlJc w:val="left"/>
      <w:pPr>
        <w:ind w:left="5760" w:hanging="360"/>
      </w:pPr>
      <w:rPr>
        <w:rFonts w:ascii="Courier New" w:hAnsi="Courier New" w:hint="default"/>
      </w:rPr>
    </w:lvl>
    <w:lvl w:ilvl="8" w:tplc="201A08E0">
      <w:start w:val="1"/>
      <w:numFmt w:val="bullet"/>
      <w:lvlText w:val=""/>
      <w:lvlJc w:val="left"/>
      <w:pPr>
        <w:ind w:left="6480" w:hanging="360"/>
      </w:pPr>
      <w:rPr>
        <w:rFonts w:ascii="Wingdings" w:hAnsi="Wingdings" w:hint="default"/>
      </w:rPr>
    </w:lvl>
  </w:abstractNum>
  <w:abstractNum w:abstractNumId="76" w15:restartNumberingAfterBreak="0">
    <w:nsid w:val="71452FC1"/>
    <w:multiLevelType w:val="hybridMultilevel"/>
    <w:tmpl w:val="FFFFFFFF"/>
    <w:lvl w:ilvl="0" w:tplc="A860EFC2">
      <w:start w:val="34"/>
      <w:numFmt w:val="decimal"/>
      <w:lvlText w:val="%1."/>
      <w:lvlJc w:val="left"/>
      <w:pPr>
        <w:ind w:left="720" w:hanging="360"/>
      </w:pPr>
    </w:lvl>
    <w:lvl w:ilvl="1" w:tplc="9DA8CC02">
      <w:start w:val="1"/>
      <w:numFmt w:val="lowerLetter"/>
      <w:lvlText w:val="%2."/>
      <w:lvlJc w:val="left"/>
      <w:pPr>
        <w:ind w:left="1440" w:hanging="360"/>
      </w:pPr>
    </w:lvl>
    <w:lvl w:ilvl="2" w:tplc="25D22BCA">
      <w:start w:val="1"/>
      <w:numFmt w:val="lowerRoman"/>
      <w:lvlText w:val="%3."/>
      <w:lvlJc w:val="right"/>
      <w:pPr>
        <w:ind w:left="2160" w:hanging="180"/>
      </w:pPr>
    </w:lvl>
    <w:lvl w:ilvl="3" w:tplc="3FC247F2">
      <w:start w:val="1"/>
      <w:numFmt w:val="decimal"/>
      <w:lvlText w:val="%4."/>
      <w:lvlJc w:val="left"/>
      <w:pPr>
        <w:ind w:left="2880" w:hanging="360"/>
      </w:pPr>
    </w:lvl>
    <w:lvl w:ilvl="4" w:tplc="750A7F1C">
      <w:start w:val="1"/>
      <w:numFmt w:val="lowerLetter"/>
      <w:lvlText w:val="%5."/>
      <w:lvlJc w:val="left"/>
      <w:pPr>
        <w:ind w:left="3600" w:hanging="360"/>
      </w:pPr>
    </w:lvl>
    <w:lvl w:ilvl="5" w:tplc="F7EE257E">
      <w:start w:val="1"/>
      <w:numFmt w:val="lowerRoman"/>
      <w:lvlText w:val="%6."/>
      <w:lvlJc w:val="right"/>
      <w:pPr>
        <w:ind w:left="4320" w:hanging="180"/>
      </w:pPr>
    </w:lvl>
    <w:lvl w:ilvl="6" w:tplc="9B74209E">
      <w:start w:val="1"/>
      <w:numFmt w:val="decimal"/>
      <w:lvlText w:val="%7."/>
      <w:lvlJc w:val="left"/>
      <w:pPr>
        <w:ind w:left="5040" w:hanging="360"/>
      </w:pPr>
    </w:lvl>
    <w:lvl w:ilvl="7" w:tplc="A296F088">
      <w:start w:val="1"/>
      <w:numFmt w:val="lowerLetter"/>
      <w:lvlText w:val="%8."/>
      <w:lvlJc w:val="left"/>
      <w:pPr>
        <w:ind w:left="5760" w:hanging="360"/>
      </w:pPr>
    </w:lvl>
    <w:lvl w:ilvl="8" w:tplc="543A943E">
      <w:start w:val="1"/>
      <w:numFmt w:val="lowerRoman"/>
      <w:lvlText w:val="%9."/>
      <w:lvlJc w:val="right"/>
      <w:pPr>
        <w:ind w:left="6480" w:hanging="180"/>
      </w:pPr>
    </w:lvl>
  </w:abstractNum>
  <w:abstractNum w:abstractNumId="77" w15:restartNumberingAfterBreak="0">
    <w:nsid w:val="72824492"/>
    <w:multiLevelType w:val="hybridMultilevel"/>
    <w:tmpl w:val="F154CF8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8" w15:restartNumberingAfterBreak="0">
    <w:nsid w:val="72F55EA5"/>
    <w:multiLevelType w:val="hybridMultilevel"/>
    <w:tmpl w:val="6100A464"/>
    <w:lvl w:ilvl="0" w:tplc="055AAB86">
      <w:start w:val="1"/>
      <w:numFmt w:val="bullet"/>
      <w:lvlText w:val=""/>
      <w:lvlJc w:val="left"/>
      <w:pPr>
        <w:ind w:left="720" w:hanging="360"/>
      </w:pPr>
      <w:rPr>
        <w:rFonts w:ascii="Symbol" w:hAnsi="Symbol"/>
      </w:rPr>
    </w:lvl>
    <w:lvl w:ilvl="1" w:tplc="CDBADF78">
      <w:start w:val="1"/>
      <w:numFmt w:val="bullet"/>
      <w:lvlText w:val=""/>
      <w:lvlJc w:val="left"/>
      <w:pPr>
        <w:ind w:left="720" w:hanging="360"/>
      </w:pPr>
      <w:rPr>
        <w:rFonts w:ascii="Symbol" w:hAnsi="Symbol"/>
      </w:rPr>
    </w:lvl>
    <w:lvl w:ilvl="2" w:tplc="B92EA72E">
      <w:start w:val="1"/>
      <w:numFmt w:val="bullet"/>
      <w:lvlText w:val=""/>
      <w:lvlJc w:val="left"/>
      <w:pPr>
        <w:ind w:left="720" w:hanging="360"/>
      </w:pPr>
      <w:rPr>
        <w:rFonts w:ascii="Symbol" w:hAnsi="Symbol"/>
      </w:rPr>
    </w:lvl>
    <w:lvl w:ilvl="3" w:tplc="4016ECCA">
      <w:start w:val="1"/>
      <w:numFmt w:val="bullet"/>
      <w:lvlText w:val=""/>
      <w:lvlJc w:val="left"/>
      <w:pPr>
        <w:ind w:left="720" w:hanging="360"/>
      </w:pPr>
      <w:rPr>
        <w:rFonts w:ascii="Symbol" w:hAnsi="Symbol"/>
      </w:rPr>
    </w:lvl>
    <w:lvl w:ilvl="4" w:tplc="956E2DFA">
      <w:start w:val="1"/>
      <w:numFmt w:val="bullet"/>
      <w:lvlText w:val=""/>
      <w:lvlJc w:val="left"/>
      <w:pPr>
        <w:ind w:left="720" w:hanging="360"/>
      </w:pPr>
      <w:rPr>
        <w:rFonts w:ascii="Symbol" w:hAnsi="Symbol"/>
      </w:rPr>
    </w:lvl>
    <w:lvl w:ilvl="5" w:tplc="20B2B106">
      <w:start w:val="1"/>
      <w:numFmt w:val="bullet"/>
      <w:lvlText w:val=""/>
      <w:lvlJc w:val="left"/>
      <w:pPr>
        <w:ind w:left="720" w:hanging="360"/>
      </w:pPr>
      <w:rPr>
        <w:rFonts w:ascii="Symbol" w:hAnsi="Symbol"/>
      </w:rPr>
    </w:lvl>
    <w:lvl w:ilvl="6" w:tplc="C632212E">
      <w:start w:val="1"/>
      <w:numFmt w:val="bullet"/>
      <w:lvlText w:val=""/>
      <w:lvlJc w:val="left"/>
      <w:pPr>
        <w:ind w:left="720" w:hanging="360"/>
      </w:pPr>
      <w:rPr>
        <w:rFonts w:ascii="Symbol" w:hAnsi="Symbol"/>
      </w:rPr>
    </w:lvl>
    <w:lvl w:ilvl="7" w:tplc="5A98EDF6">
      <w:start w:val="1"/>
      <w:numFmt w:val="bullet"/>
      <w:lvlText w:val=""/>
      <w:lvlJc w:val="left"/>
      <w:pPr>
        <w:ind w:left="720" w:hanging="360"/>
      </w:pPr>
      <w:rPr>
        <w:rFonts w:ascii="Symbol" w:hAnsi="Symbol"/>
      </w:rPr>
    </w:lvl>
    <w:lvl w:ilvl="8" w:tplc="A120DB66">
      <w:start w:val="1"/>
      <w:numFmt w:val="bullet"/>
      <w:lvlText w:val=""/>
      <w:lvlJc w:val="left"/>
      <w:pPr>
        <w:ind w:left="720" w:hanging="360"/>
      </w:pPr>
      <w:rPr>
        <w:rFonts w:ascii="Symbol" w:hAnsi="Symbol"/>
      </w:rPr>
    </w:lvl>
  </w:abstractNum>
  <w:abstractNum w:abstractNumId="79" w15:restartNumberingAfterBreak="0">
    <w:nsid w:val="732641B1"/>
    <w:multiLevelType w:val="hybridMultilevel"/>
    <w:tmpl w:val="AC7CB716"/>
    <w:lvl w:ilvl="0" w:tplc="55E21628">
      <w:start w:val="1"/>
      <w:numFmt w:val="bullet"/>
      <w:lvlText w:val=""/>
      <w:lvlJc w:val="left"/>
      <w:pPr>
        <w:ind w:left="1440" w:hanging="360"/>
      </w:pPr>
      <w:rPr>
        <w:rFonts w:ascii="Symbol" w:hAnsi="Symbol"/>
      </w:rPr>
    </w:lvl>
    <w:lvl w:ilvl="1" w:tplc="7A56D4F0">
      <w:start w:val="1"/>
      <w:numFmt w:val="bullet"/>
      <w:lvlText w:val=""/>
      <w:lvlJc w:val="left"/>
      <w:pPr>
        <w:ind w:left="1440" w:hanging="360"/>
      </w:pPr>
      <w:rPr>
        <w:rFonts w:ascii="Symbol" w:hAnsi="Symbol"/>
      </w:rPr>
    </w:lvl>
    <w:lvl w:ilvl="2" w:tplc="BB8ED250">
      <w:start w:val="1"/>
      <w:numFmt w:val="bullet"/>
      <w:lvlText w:val=""/>
      <w:lvlJc w:val="left"/>
      <w:pPr>
        <w:ind w:left="1440" w:hanging="360"/>
      </w:pPr>
      <w:rPr>
        <w:rFonts w:ascii="Symbol" w:hAnsi="Symbol"/>
      </w:rPr>
    </w:lvl>
    <w:lvl w:ilvl="3" w:tplc="D646BD2E">
      <w:start w:val="1"/>
      <w:numFmt w:val="bullet"/>
      <w:lvlText w:val=""/>
      <w:lvlJc w:val="left"/>
      <w:pPr>
        <w:ind w:left="1440" w:hanging="360"/>
      </w:pPr>
      <w:rPr>
        <w:rFonts w:ascii="Symbol" w:hAnsi="Symbol"/>
      </w:rPr>
    </w:lvl>
    <w:lvl w:ilvl="4" w:tplc="33B2C29E">
      <w:start w:val="1"/>
      <w:numFmt w:val="bullet"/>
      <w:lvlText w:val=""/>
      <w:lvlJc w:val="left"/>
      <w:pPr>
        <w:ind w:left="1440" w:hanging="360"/>
      </w:pPr>
      <w:rPr>
        <w:rFonts w:ascii="Symbol" w:hAnsi="Symbol"/>
      </w:rPr>
    </w:lvl>
    <w:lvl w:ilvl="5" w:tplc="DAEE92CA">
      <w:start w:val="1"/>
      <w:numFmt w:val="bullet"/>
      <w:lvlText w:val=""/>
      <w:lvlJc w:val="left"/>
      <w:pPr>
        <w:ind w:left="1440" w:hanging="360"/>
      </w:pPr>
      <w:rPr>
        <w:rFonts w:ascii="Symbol" w:hAnsi="Symbol"/>
      </w:rPr>
    </w:lvl>
    <w:lvl w:ilvl="6" w:tplc="B5504C72">
      <w:start w:val="1"/>
      <w:numFmt w:val="bullet"/>
      <w:lvlText w:val=""/>
      <w:lvlJc w:val="left"/>
      <w:pPr>
        <w:ind w:left="1440" w:hanging="360"/>
      </w:pPr>
      <w:rPr>
        <w:rFonts w:ascii="Symbol" w:hAnsi="Symbol"/>
      </w:rPr>
    </w:lvl>
    <w:lvl w:ilvl="7" w:tplc="14488FB8">
      <w:start w:val="1"/>
      <w:numFmt w:val="bullet"/>
      <w:lvlText w:val=""/>
      <w:lvlJc w:val="left"/>
      <w:pPr>
        <w:ind w:left="1440" w:hanging="360"/>
      </w:pPr>
      <w:rPr>
        <w:rFonts w:ascii="Symbol" w:hAnsi="Symbol"/>
      </w:rPr>
    </w:lvl>
    <w:lvl w:ilvl="8" w:tplc="18EEE5D6">
      <w:start w:val="1"/>
      <w:numFmt w:val="bullet"/>
      <w:lvlText w:val=""/>
      <w:lvlJc w:val="left"/>
      <w:pPr>
        <w:ind w:left="1440" w:hanging="360"/>
      </w:pPr>
      <w:rPr>
        <w:rFonts w:ascii="Symbol" w:hAnsi="Symbol"/>
      </w:rPr>
    </w:lvl>
  </w:abstractNum>
  <w:abstractNum w:abstractNumId="80" w15:restartNumberingAfterBreak="0">
    <w:nsid w:val="73A306C7"/>
    <w:multiLevelType w:val="hybridMultilevel"/>
    <w:tmpl w:val="48E62A78"/>
    <w:lvl w:ilvl="0" w:tplc="EB8618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1" w15:restartNumberingAfterBreak="0">
    <w:nsid w:val="74B64027"/>
    <w:multiLevelType w:val="hybridMultilevel"/>
    <w:tmpl w:val="8E64102A"/>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82" w15:restartNumberingAfterBreak="0">
    <w:nsid w:val="759774F7"/>
    <w:multiLevelType w:val="hybridMultilevel"/>
    <w:tmpl w:val="FFFFFFFF"/>
    <w:lvl w:ilvl="0" w:tplc="A20882E4">
      <w:start w:val="1"/>
      <w:numFmt w:val="bullet"/>
      <w:lvlText w:val=""/>
      <w:lvlJc w:val="left"/>
      <w:pPr>
        <w:ind w:left="720" w:hanging="360"/>
      </w:pPr>
      <w:rPr>
        <w:rFonts w:ascii="Symbol" w:hAnsi="Symbol" w:hint="default"/>
      </w:rPr>
    </w:lvl>
    <w:lvl w:ilvl="1" w:tplc="01D00222">
      <w:start w:val="1"/>
      <w:numFmt w:val="bullet"/>
      <w:lvlText w:val="o"/>
      <w:lvlJc w:val="left"/>
      <w:pPr>
        <w:ind w:left="1440" w:hanging="360"/>
      </w:pPr>
      <w:rPr>
        <w:rFonts w:ascii="Courier New" w:hAnsi="Courier New" w:hint="default"/>
      </w:rPr>
    </w:lvl>
    <w:lvl w:ilvl="2" w:tplc="52501A60">
      <w:start w:val="1"/>
      <w:numFmt w:val="bullet"/>
      <w:lvlText w:val=""/>
      <w:lvlJc w:val="left"/>
      <w:pPr>
        <w:ind w:left="2160" w:hanging="360"/>
      </w:pPr>
      <w:rPr>
        <w:rFonts w:ascii="Wingdings" w:hAnsi="Wingdings" w:hint="default"/>
      </w:rPr>
    </w:lvl>
    <w:lvl w:ilvl="3" w:tplc="3FFADE4C">
      <w:start w:val="1"/>
      <w:numFmt w:val="bullet"/>
      <w:lvlText w:val=""/>
      <w:lvlJc w:val="left"/>
      <w:pPr>
        <w:ind w:left="2880" w:hanging="360"/>
      </w:pPr>
      <w:rPr>
        <w:rFonts w:ascii="Symbol" w:hAnsi="Symbol" w:hint="default"/>
      </w:rPr>
    </w:lvl>
    <w:lvl w:ilvl="4" w:tplc="96C8E8B6">
      <w:start w:val="1"/>
      <w:numFmt w:val="bullet"/>
      <w:lvlText w:val="o"/>
      <w:lvlJc w:val="left"/>
      <w:pPr>
        <w:ind w:left="3600" w:hanging="360"/>
      </w:pPr>
      <w:rPr>
        <w:rFonts w:ascii="Courier New" w:hAnsi="Courier New" w:hint="default"/>
      </w:rPr>
    </w:lvl>
    <w:lvl w:ilvl="5" w:tplc="493E1F20">
      <w:start w:val="1"/>
      <w:numFmt w:val="bullet"/>
      <w:lvlText w:val=""/>
      <w:lvlJc w:val="left"/>
      <w:pPr>
        <w:ind w:left="4320" w:hanging="360"/>
      </w:pPr>
      <w:rPr>
        <w:rFonts w:ascii="Wingdings" w:hAnsi="Wingdings" w:hint="default"/>
      </w:rPr>
    </w:lvl>
    <w:lvl w:ilvl="6" w:tplc="4FA87396">
      <w:start w:val="1"/>
      <w:numFmt w:val="bullet"/>
      <w:lvlText w:val=""/>
      <w:lvlJc w:val="left"/>
      <w:pPr>
        <w:ind w:left="5040" w:hanging="360"/>
      </w:pPr>
      <w:rPr>
        <w:rFonts w:ascii="Symbol" w:hAnsi="Symbol" w:hint="default"/>
      </w:rPr>
    </w:lvl>
    <w:lvl w:ilvl="7" w:tplc="C1DC8B2C">
      <w:start w:val="1"/>
      <w:numFmt w:val="bullet"/>
      <w:lvlText w:val="o"/>
      <w:lvlJc w:val="left"/>
      <w:pPr>
        <w:ind w:left="5760" w:hanging="360"/>
      </w:pPr>
      <w:rPr>
        <w:rFonts w:ascii="Courier New" w:hAnsi="Courier New" w:hint="default"/>
      </w:rPr>
    </w:lvl>
    <w:lvl w:ilvl="8" w:tplc="8556C664">
      <w:start w:val="1"/>
      <w:numFmt w:val="bullet"/>
      <w:lvlText w:val=""/>
      <w:lvlJc w:val="left"/>
      <w:pPr>
        <w:ind w:left="6480" w:hanging="360"/>
      </w:pPr>
      <w:rPr>
        <w:rFonts w:ascii="Wingdings" w:hAnsi="Wingdings" w:hint="default"/>
      </w:rPr>
    </w:lvl>
  </w:abstractNum>
  <w:abstractNum w:abstractNumId="83" w15:restartNumberingAfterBreak="0">
    <w:nsid w:val="761425F0"/>
    <w:multiLevelType w:val="hybridMultilevel"/>
    <w:tmpl w:val="CC1CF64A"/>
    <w:lvl w:ilvl="0" w:tplc="53B83F5C">
      <w:start w:val="2"/>
      <w:numFmt w:val="decimal"/>
      <w:pStyle w:val="Question"/>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4" w15:restartNumberingAfterBreak="0">
    <w:nsid w:val="7DE34EF5"/>
    <w:multiLevelType w:val="hybridMultilevel"/>
    <w:tmpl w:val="86980C48"/>
    <w:lvl w:ilvl="0" w:tplc="898A00CA">
      <w:start w:val="1"/>
      <w:numFmt w:val="bullet"/>
      <w:lvlText w:val=""/>
      <w:lvlJc w:val="left"/>
      <w:pPr>
        <w:ind w:left="720" w:hanging="360"/>
      </w:pPr>
      <w:rPr>
        <w:rFonts w:ascii="Symbol" w:hAnsi="Symbol"/>
      </w:rPr>
    </w:lvl>
    <w:lvl w:ilvl="1" w:tplc="B6E2B27A">
      <w:start w:val="1"/>
      <w:numFmt w:val="bullet"/>
      <w:lvlText w:val=""/>
      <w:lvlJc w:val="left"/>
      <w:pPr>
        <w:ind w:left="720" w:hanging="360"/>
      </w:pPr>
      <w:rPr>
        <w:rFonts w:ascii="Symbol" w:hAnsi="Symbol"/>
      </w:rPr>
    </w:lvl>
    <w:lvl w:ilvl="2" w:tplc="60CCDABE">
      <w:start w:val="1"/>
      <w:numFmt w:val="bullet"/>
      <w:lvlText w:val=""/>
      <w:lvlJc w:val="left"/>
      <w:pPr>
        <w:ind w:left="720" w:hanging="360"/>
      </w:pPr>
      <w:rPr>
        <w:rFonts w:ascii="Symbol" w:hAnsi="Symbol"/>
      </w:rPr>
    </w:lvl>
    <w:lvl w:ilvl="3" w:tplc="3CB69050">
      <w:start w:val="1"/>
      <w:numFmt w:val="bullet"/>
      <w:lvlText w:val=""/>
      <w:lvlJc w:val="left"/>
      <w:pPr>
        <w:ind w:left="720" w:hanging="360"/>
      </w:pPr>
      <w:rPr>
        <w:rFonts w:ascii="Symbol" w:hAnsi="Symbol"/>
      </w:rPr>
    </w:lvl>
    <w:lvl w:ilvl="4" w:tplc="EE6C4BBC">
      <w:start w:val="1"/>
      <w:numFmt w:val="bullet"/>
      <w:lvlText w:val=""/>
      <w:lvlJc w:val="left"/>
      <w:pPr>
        <w:ind w:left="720" w:hanging="360"/>
      </w:pPr>
      <w:rPr>
        <w:rFonts w:ascii="Symbol" w:hAnsi="Symbol"/>
      </w:rPr>
    </w:lvl>
    <w:lvl w:ilvl="5" w:tplc="02CED108">
      <w:start w:val="1"/>
      <w:numFmt w:val="bullet"/>
      <w:lvlText w:val=""/>
      <w:lvlJc w:val="left"/>
      <w:pPr>
        <w:ind w:left="720" w:hanging="360"/>
      </w:pPr>
      <w:rPr>
        <w:rFonts w:ascii="Symbol" w:hAnsi="Symbol"/>
      </w:rPr>
    </w:lvl>
    <w:lvl w:ilvl="6" w:tplc="97AE7FE4">
      <w:start w:val="1"/>
      <w:numFmt w:val="bullet"/>
      <w:lvlText w:val=""/>
      <w:lvlJc w:val="left"/>
      <w:pPr>
        <w:ind w:left="720" w:hanging="360"/>
      </w:pPr>
      <w:rPr>
        <w:rFonts w:ascii="Symbol" w:hAnsi="Symbol"/>
      </w:rPr>
    </w:lvl>
    <w:lvl w:ilvl="7" w:tplc="B4526304">
      <w:start w:val="1"/>
      <w:numFmt w:val="bullet"/>
      <w:lvlText w:val=""/>
      <w:lvlJc w:val="left"/>
      <w:pPr>
        <w:ind w:left="720" w:hanging="360"/>
      </w:pPr>
      <w:rPr>
        <w:rFonts w:ascii="Symbol" w:hAnsi="Symbol"/>
      </w:rPr>
    </w:lvl>
    <w:lvl w:ilvl="8" w:tplc="04EE92FE">
      <w:start w:val="1"/>
      <w:numFmt w:val="bullet"/>
      <w:lvlText w:val=""/>
      <w:lvlJc w:val="left"/>
      <w:pPr>
        <w:ind w:left="720" w:hanging="360"/>
      </w:pPr>
      <w:rPr>
        <w:rFonts w:ascii="Symbol" w:hAnsi="Symbol"/>
      </w:rPr>
    </w:lvl>
  </w:abstractNum>
  <w:abstractNum w:abstractNumId="85" w15:restartNumberingAfterBreak="0">
    <w:nsid w:val="7F4B3408"/>
    <w:multiLevelType w:val="hybridMultilevel"/>
    <w:tmpl w:val="21A2844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759106528">
    <w:abstractNumId w:val="36"/>
  </w:num>
  <w:num w:numId="2" w16cid:durableId="2013947728">
    <w:abstractNumId w:val="26"/>
  </w:num>
  <w:num w:numId="3" w16cid:durableId="1260485979">
    <w:abstractNumId w:val="66"/>
  </w:num>
  <w:num w:numId="4" w16cid:durableId="1689869652">
    <w:abstractNumId w:val="37"/>
  </w:num>
  <w:num w:numId="5" w16cid:durableId="1379672329">
    <w:abstractNumId w:val="83"/>
  </w:num>
  <w:num w:numId="6" w16cid:durableId="1829906040">
    <w:abstractNumId w:val="15"/>
  </w:num>
  <w:num w:numId="7" w16cid:durableId="1850487937">
    <w:abstractNumId w:val="74"/>
  </w:num>
  <w:num w:numId="8" w16cid:durableId="1818843232">
    <w:abstractNumId w:val="58"/>
  </w:num>
  <w:num w:numId="9" w16cid:durableId="1778061306">
    <w:abstractNumId w:val="28"/>
  </w:num>
  <w:num w:numId="10" w16cid:durableId="318268583">
    <w:abstractNumId w:val="16"/>
  </w:num>
  <w:num w:numId="11" w16cid:durableId="1766419543">
    <w:abstractNumId w:val="56"/>
  </w:num>
  <w:num w:numId="12" w16cid:durableId="979771912">
    <w:abstractNumId w:val="48"/>
  </w:num>
  <w:num w:numId="13" w16cid:durableId="529077168">
    <w:abstractNumId w:val="51"/>
  </w:num>
  <w:num w:numId="14" w16cid:durableId="994379882">
    <w:abstractNumId w:val="69"/>
  </w:num>
  <w:num w:numId="15" w16cid:durableId="476723202">
    <w:abstractNumId w:val="71"/>
  </w:num>
  <w:num w:numId="16" w16cid:durableId="748774053">
    <w:abstractNumId w:val="27"/>
  </w:num>
  <w:num w:numId="17" w16cid:durableId="226503839">
    <w:abstractNumId w:val="18"/>
  </w:num>
  <w:num w:numId="18" w16cid:durableId="392316932">
    <w:abstractNumId w:val="47"/>
  </w:num>
  <w:num w:numId="19" w16cid:durableId="293290914">
    <w:abstractNumId w:val="38"/>
  </w:num>
  <w:num w:numId="20" w16cid:durableId="1549099025">
    <w:abstractNumId w:val="25"/>
  </w:num>
  <w:num w:numId="21" w16cid:durableId="1050573126">
    <w:abstractNumId w:val="6"/>
  </w:num>
  <w:num w:numId="22" w16cid:durableId="2050687669">
    <w:abstractNumId w:val="41"/>
  </w:num>
  <w:num w:numId="23" w16cid:durableId="1990862447">
    <w:abstractNumId w:val="80"/>
  </w:num>
  <w:num w:numId="24" w16cid:durableId="255138885">
    <w:abstractNumId w:val="40"/>
  </w:num>
  <w:num w:numId="25" w16cid:durableId="644050049">
    <w:abstractNumId w:val="45"/>
  </w:num>
  <w:num w:numId="26" w16cid:durableId="493181852">
    <w:abstractNumId w:val="44"/>
  </w:num>
  <w:num w:numId="27" w16cid:durableId="107549839">
    <w:abstractNumId w:val="3"/>
  </w:num>
  <w:num w:numId="28" w16cid:durableId="472406327">
    <w:abstractNumId w:val="24"/>
  </w:num>
  <w:num w:numId="29" w16cid:durableId="1194346990">
    <w:abstractNumId w:val="59"/>
  </w:num>
  <w:num w:numId="30" w16cid:durableId="1205367365">
    <w:abstractNumId w:val="85"/>
  </w:num>
  <w:num w:numId="31" w16cid:durableId="210457528">
    <w:abstractNumId w:val="8"/>
  </w:num>
  <w:num w:numId="32" w16cid:durableId="472601875">
    <w:abstractNumId w:val="2"/>
  </w:num>
  <w:num w:numId="33" w16cid:durableId="1745372314">
    <w:abstractNumId w:val="12"/>
  </w:num>
  <w:num w:numId="34" w16cid:durableId="1897815375">
    <w:abstractNumId w:val="54"/>
  </w:num>
  <w:num w:numId="35" w16cid:durableId="212157495">
    <w:abstractNumId w:val="62"/>
  </w:num>
  <w:num w:numId="36" w16cid:durableId="640693528">
    <w:abstractNumId w:val="42"/>
  </w:num>
  <w:num w:numId="37" w16cid:durableId="1587498902">
    <w:abstractNumId w:val="21"/>
  </w:num>
  <w:num w:numId="38" w16cid:durableId="559753032">
    <w:abstractNumId w:val="32"/>
  </w:num>
  <w:num w:numId="39" w16cid:durableId="618293632">
    <w:abstractNumId w:val="33"/>
  </w:num>
  <w:num w:numId="40" w16cid:durableId="271478523">
    <w:abstractNumId w:val="64"/>
  </w:num>
  <w:num w:numId="41" w16cid:durableId="434979319">
    <w:abstractNumId w:val="30"/>
  </w:num>
  <w:num w:numId="42" w16cid:durableId="1466923304">
    <w:abstractNumId w:val="49"/>
  </w:num>
  <w:num w:numId="43" w16cid:durableId="1788620420">
    <w:abstractNumId w:val="72"/>
  </w:num>
  <w:num w:numId="44" w16cid:durableId="1138038309">
    <w:abstractNumId w:val="43"/>
  </w:num>
  <w:num w:numId="45" w16cid:durableId="2111313774">
    <w:abstractNumId w:val="13"/>
  </w:num>
  <w:num w:numId="46" w16cid:durableId="1483232449">
    <w:abstractNumId w:val="53"/>
  </w:num>
  <w:num w:numId="47" w16cid:durableId="278219912">
    <w:abstractNumId w:val="52"/>
  </w:num>
  <w:num w:numId="48" w16cid:durableId="32583125">
    <w:abstractNumId w:val="77"/>
  </w:num>
  <w:num w:numId="49" w16cid:durableId="970016132">
    <w:abstractNumId w:val="73"/>
  </w:num>
  <w:num w:numId="50" w16cid:durableId="1631013510">
    <w:abstractNumId w:val="84"/>
  </w:num>
  <w:num w:numId="51" w16cid:durableId="749422677">
    <w:abstractNumId w:val="70"/>
  </w:num>
  <w:num w:numId="52" w16cid:durableId="1550413412">
    <w:abstractNumId w:val="65"/>
  </w:num>
  <w:num w:numId="53" w16cid:durableId="2111972244">
    <w:abstractNumId w:val="1"/>
  </w:num>
  <w:num w:numId="54" w16cid:durableId="2116317920">
    <w:abstractNumId w:val="50"/>
  </w:num>
  <w:num w:numId="55" w16cid:durableId="511651017">
    <w:abstractNumId w:val="0"/>
  </w:num>
  <w:num w:numId="56" w16cid:durableId="165558536">
    <w:abstractNumId w:val="63"/>
  </w:num>
  <w:num w:numId="57" w16cid:durableId="1919749122">
    <w:abstractNumId w:val="57"/>
  </w:num>
  <w:num w:numId="58" w16cid:durableId="412314754">
    <w:abstractNumId w:val="9"/>
  </w:num>
  <w:num w:numId="59" w16cid:durableId="131100970">
    <w:abstractNumId w:val="19"/>
  </w:num>
  <w:num w:numId="60" w16cid:durableId="446319077">
    <w:abstractNumId w:val="67"/>
  </w:num>
  <w:num w:numId="61" w16cid:durableId="1137407961">
    <w:abstractNumId w:val="31"/>
  </w:num>
  <w:num w:numId="62" w16cid:durableId="1990016289">
    <w:abstractNumId w:val="7"/>
  </w:num>
  <w:num w:numId="63" w16cid:durableId="1843427177">
    <w:abstractNumId w:val="82"/>
  </w:num>
  <w:num w:numId="64" w16cid:durableId="512885370">
    <w:abstractNumId w:val="75"/>
  </w:num>
  <w:num w:numId="65" w16cid:durableId="329413870">
    <w:abstractNumId w:val="22"/>
  </w:num>
  <w:num w:numId="66" w16cid:durableId="925767562">
    <w:abstractNumId w:val="11"/>
  </w:num>
  <w:num w:numId="67" w16cid:durableId="668291686">
    <w:abstractNumId w:val="14"/>
  </w:num>
  <w:num w:numId="68" w16cid:durableId="843521273">
    <w:abstractNumId w:val="61"/>
  </w:num>
  <w:num w:numId="69" w16cid:durableId="1303534276">
    <w:abstractNumId w:val="78"/>
  </w:num>
  <w:num w:numId="70" w16cid:durableId="474761551">
    <w:abstractNumId w:val="10"/>
  </w:num>
  <w:num w:numId="71" w16cid:durableId="183978317">
    <w:abstractNumId w:val="23"/>
  </w:num>
  <w:num w:numId="72" w16cid:durableId="15451722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07563541">
    <w:abstractNumId w:val="79"/>
  </w:num>
  <w:num w:numId="74" w16cid:durableId="2062442975">
    <w:abstractNumId w:val="17"/>
  </w:num>
  <w:num w:numId="75" w16cid:durableId="134302585">
    <w:abstractNumId w:val="20"/>
  </w:num>
  <w:num w:numId="76" w16cid:durableId="1175878412">
    <w:abstractNumId w:val="68"/>
  </w:num>
  <w:num w:numId="77" w16cid:durableId="338579634">
    <w:abstractNumId w:val="81"/>
  </w:num>
  <w:num w:numId="78" w16cid:durableId="1701660769">
    <w:abstractNumId w:val="76"/>
  </w:num>
  <w:num w:numId="79" w16cid:durableId="462887893">
    <w:abstractNumId w:val="60"/>
  </w:num>
  <w:num w:numId="80" w16cid:durableId="625811916">
    <w:abstractNumId w:val="39"/>
  </w:num>
  <w:num w:numId="81" w16cid:durableId="1855653836">
    <w:abstractNumId w:val="46"/>
  </w:num>
  <w:num w:numId="82" w16cid:durableId="1373263331">
    <w:abstractNumId w:val="55"/>
  </w:num>
  <w:num w:numId="83" w16cid:durableId="942224975">
    <w:abstractNumId w:val="29"/>
  </w:num>
  <w:num w:numId="84" w16cid:durableId="2063165616">
    <w:abstractNumId w:val="35"/>
  </w:num>
  <w:num w:numId="85" w16cid:durableId="1718622246">
    <w:abstractNumId w:val="34"/>
  </w:num>
  <w:num w:numId="86" w16cid:durableId="250166466">
    <w:abstractNumId w:val="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11"/>
    <w:rsid w:val="00000291"/>
    <w:rsid w:val="00000D32"/>
    <w:rsid w:val="0000116E"/>
    <w:rsid w:val="000011C0"/>
    <w:rsid w:val="00001256"/>
    <w:rsid w:val="000013D0"/>
    <w:rsid w:val="00001907"/>
    <w:rsid w:val="00001C24"/>
    <w:rsid w:val="00001F76"/>
    <w:rsid w:val="000021AE"/>
    <w:rsid w:val="0000250B"/>
    <w:rsid w:val="00002741"/>
    <w:rsid w:val="0000285E"/>
    <w:rsid w:val="000029A0"/>
    <w:rsid w:val="000029CA"/>
    <w:rsid w:val="00002ACB"/>
    <w:rsid w:val="00002BFA"/>
    <w:rsid w:val="00002E0B"/>
    <w:rsid w:val="00003046"/>
    <w:rsid w:val="000031DE"/>
    <w:rsid w:val="000035EE"/>
    <w:rsid w:val="00003D30"/>
    <w:rsid w:val="00003FD2"/>
    <w:rsid w:val="00004188"/>
    <w:rsid w:val="00004647"/>
    <w:rsid w:val="0000467A"/>
    <w:rsid w:val="00004786"/>
    <w:rsid w:val="000047F2"/>
    <w:rsid w:val="00004945"/>
    <w:rsid w:val="00004B1D"/>
    <w:rsid w:val="00004E95"/>
    <w:rsid w:val="000054D7"/>
    <w:rsid w:val="00005933"/>
    <w:rsid w:val="000059C0"/>
    <w:rsid w:val="00005B70"/>
    <w:rsid w:val="0000641B"/>
    <w:rsid w:val="0000649F"/>
    <w:rsid w:val="000064E1"/>
    <w:rsid w:val="00006622"/>
    <w:rsid w:val="00006916"/>
    <w:rsid w:val="00006B8B"/>
    <w:rsid w:val="00006FD2"/>
    <w:rsid w:val="0000706D"/>
    <w:rsid w:val="000071D2"/>
    <w:rsid w:val="00007416"/>
    <w:rsid w:val="0000784A"/>
    <w:rsid w:val="000078FC"/>
    <w:rsid w:val="0001002C"/>
    <w:rsid w:val="00010167"/>
    <w:rsid w:val="000102BA"/>
    <w:rsid w:val="00010520"/>
    <w:rsid w:val="0001072F"/>
    <w:rsid w:val="000107F0"/>
    <w:rsid w:val="00010983"/>
    <w:rsid w:val="000109EA"/>
    <w:rsid w:val="00010C7F"/>
    <w:rsid w:val="00010CC6"/>
    <w:rsid w:val="00010F6B"/>
    <w:rsid w:val="0001197A"/>
    <w:rsid w:val="00011ACD"/>
    <w:rsid w:val="00011B77"/>
    <w:rsid w:val="00011EAA"/>
    <w:rsid w:val="0001219F"/>
    <w:rsid w:val="00012335"/>
    <w:rsid w:val="000126E5"/>
    <w:rsid w:val="000127B9"/>
    <w:rsid w:val="000127E1"/>
    <w:rsid w:val="0001283B"/>
    <w:rsid w:val="00012A8D"/>
    <w:rsid w:val="0001317A"/>
    <w:rsid w:val="000131C2"/>
    <w:rsid w:val="000131ED"/>
    <w:rsid w:val="00013259"/>
    <w:rsid w:val="000134D3"/>
    <w:rsid w:val="00013A41"/>
    <w:rsid w:val="00013C3B"/>
    <w:rsid w:val="00013DC1"/>
    <w:rsid w:val="00013E8B"/>
    <w:rsid w:val="00014387"/>
    <w:rsid w:val="000144B4"/>
    <w:rsid w:val="00014B3E"/>
    <w:rsid w:val="00014B45"/>
    <w:rsid w:val="00014E63"/>
    <w:rsid w:val="00014FAA"/>
    <w:rsid w:val="000154CB"/>
    <w:rsid w:val="0001589F"/>
    <w:rsid w:val="00015A48"/>
    <w:rsid w:val="00015DBF"/>
    <w:rsid w:val="00015F11"/>
    <w:rsid w:val="00016232"/>
    <w:rsid w:val="000162B4"/>
    <w:rsid w:val="00016317"/>
    <w:rsid w:val="0001645A"/>
    <w:rsid w:val="0001651F"/>
    <w:rsid w:val="00016678"/>
    <w:rsid w:val="00016752"/>
    <w:rsid w:val="000168AF"/>
    <w:rsid w:val="00016A1B"/>
    <w:rsid w:val="00016D50"/>
    <w:rsid w:val="00016E68"/>
    <w:rsid w:val="00016FDC"/>
    <w:rsid w:val="000171D9"/>
    <w:rsid w:val="000178F0"/>
    <w:rsid w:val="00017957"/>
    <w:rsid w:val="00017DA8"/>
    <w:rsid w:val="00017DCF"/>
    <w:rsid w:val="000206DA"/>
    <w:rsid w:val="00020856"/>
    <w:rsid w:val="00020D64"/>
    <w:rsid w:val="0002100D"/>
    <w:rsid w:val="000211B3"/>
    <w:rsid w:val="000217C6"/>
    <w:rsid w:val="00021AC8"/>
    <w:rsid w:val="00021E89"/>
    <w:rsid w:val="00021F43"/>
    <w:rsid w:val="000220D2"/>
    <w:rsid w:val="000221C9"/>
    <w:rsid w:val="000221D6"/>
    <w:rsid w:val="00022422"/>
    <w:rsid w:val="000226C0"/>
    <w:rsid w:val="00022790"/>
    <w:rsid w:val="0002294E"/>
    <w:rsid w:val="000229B9"/>
    <w:rsid w:val="00022B8F"/>
    <w:rsid w:val="00022EDB"/>
    <w:rsid w:val="00022FBF"/>
    <w:rsid w:val="000230B7"/>
    <w:rsid w:val="00023216"/>
    <w:rsid w:val="0002328C"/>
    <w:rsid w:val="00023350"/>
    <w:rsid w:val="000235BC"/>
    <w:rsid w:val="0002390C"/>
    <w:rsid w:val="000239B4"/>
    <w:rsid w:val="00023EF4"/>
    <w:rsid w:val="00024328"/>
    <w:rsid w:val="000243BB"/>
    <w:rsid w:val="000245F2"/>
    <w:rsid w:val="00024A4B"/>
    <w:rsid w:val="00024D22"/>
    <w:rsid w:val="00024EE7"/>
    <w:rsid w:val="0002569E"/>
    <w:rsid w:val="000256A7"/>
    <w:rsid w:val="00025863"/>
    <w:rsid w:val="00025B8F"/>
    <w:rsid w:val="000262E0"/>
    <w:rsid w:val="00026A2F"/>
    <w:rsid w:val="00026A5D"/>
    <w:rsid w:val="00026E84"/>
    <w:rsid w:val="00026F0E"/>
    <w:rsid w:val="00026FB7"/>
    <w:rsid w:val="00027511"/>
    <w:rsid w:val="000275EE"/>
    <w:rsid w:val="0003009F"/>
    <w:rsid w:val="00030254"/>
    <w:rsid w:val="0003041B"/>
    <w:rsid w:val="00030A0C"/>
    <w:rsid w:val="00030E5B"/>
    <w:rsid w:val="0003110A"/>
    <w:rsid w:val="000314AF"/>
    <w:rsid w:val="00031786"/>
    <w:rsid w:val="00031801"/>
    <w:rsid w:val="00031AC1"/>
    <w:rsid w:val="00031C75"/>
    <w:rsid w:val="00031D8B"/>
    <w:rsid w:val="00031E97"/>
    <w:rsid w:val="00032362"/>
    <w:rsid w:val="000328CD"/>
    <w:rsid w:val="000329FC"/>
    <w:rsid w:val="00032CF4"/>
    <w:rsid w:val="00032D9B"/>
    <w:rsid w:val="00032EB1"/>
    <w:rsid w:val="00032F63"/>
    <w:rsid w:val="000330FE"/>
    <w:rsid w:val="00033728"/>
    <w:rsid w:val="0003380C"/>
    <w:rsid w:val="00033C80"/>
    <w:rsid w:val="00033E99"/>
    <w:rsid w:val="0003454B"/>
    <w:rsid w:val="000345E6"/>
    <w:rsid w:val="00034617"/>
    <w:rsid w:val="000349C0"/>
    <w:rsid w:val="00034A50"/>
    <w:rsid w:val="00034D24"/>
    <w:rsid w:val="00034D32"/>
    <w:rsid w:val="00035199"/>
    <w:rsid w:val="0003547B"/>
    <w:rsid w:val="000357FC"/>
    <w:rsid w:val="00035B22"/>
    <w:rsid w:val="00035DD3"/>
    <w:rsid w:val="00035E38"/>
    <w:rsid w:val="0003644B"/>
    <w:rsid w:val="000372F9"/>
    <w:rsid w:val="000373D3"/>
    <w:rsid w:val="0003766A"/>
    <w:rsid w:val="0003777A"/>
    <w:rsid w:val="00037A18"/>
    <w:rsid w:val="00037B1C"/>
    <w:rsid w:val="00037CCD"/>
    <w:rsid w:val="0004005F"/>
    <w:rsid w:val="00040158"/>
    <w:rsid w:val="000402D7"/>
    <w:rsid w:val="00040402"/>
    <w:rsid w:val="0004048F"/>
    <w:rsid w:val="000404EF"/>
    <w:rsid w:val="0004075B"/>
    <w:rsid w:val="000407C2"/>
    <w:rsid w:val="00040A53"/>
    <w:rsid w:val="00040B58"/>
    <w:rsid w:val="00040D5C"/>
    <w:rsid w:val="0004155B"/>
    <w:rsid w:val="000415B2"/>
    <w:rsid w:val="00041AC5"/>
    <w:rsid w:val="00041BF9"/>
    <w:rsid w:val="00041D96"/>
    <w:rsid w:val="00041FB3"/>
    <w:rsid w:val="00042403"/>
    <w:rsid w:val="0004263D"/>
    <w:rsid w:val="000428DC"/>
    <w:rsid w:val="00042CF3"/>
    <w:rsid w:val="00042ECC"/>
    <w:rsid w:val="00042FA8"/>
    <w:rsid w:val="000436CB"/>
    <w:rsid w:val="000439AA"/>
    <w:rsid w:val="00043C35"/>
    <w:rsid w:val="00043FBB"/>
    <w:rsid w:val="0004441B"/>
    <w:rsid w:val="0004442C"/>
    <w:rsid w:val="0004455B"/>
    <w:rsid w:val="00044639"/>
    <w:rsid w:val="000447FA"/>
    <w:rsid w:val="0004482C"/>
    <w:rsid w:val="00044E19"/>
    <w:rsid w:val="00044E97"/>
    <w:rsid w:val="0004510D"/>
    <w:rsid w:val="00045596"/>
    <w:rsid w:val="000455EA"/>
    <w:rsid w:val="0004581F"/>
    <w:rsid w:val="00045CEE"/>
    <w:rsid w:val="00045D12"/>
    <w:rsid w:val="00045E5E"/>
    <w:rsid w:val="00045FBC"/>
    <w:rsid w:val="00046583"/>
    <w:rsid w:val="000466D9"/>
    <w:rsid w:val="00046A7E"/>
    <w:rsid w:val="00046B00"/>
    <w:rsid w:val="00046F14"/>
    <w:rsid w:val="00047100"/>
    <w:rsid w:val="0004711D"/>
    <w:rsid w:val="000473F3"/>
    <w:rsid w:val="000475D8"/>
    <w:rsid w:val="000475E2"/>
    <w:rsid w:val="0004770D"/>
    <w:rsid w:val="00047CAA"/>
    <w:rsid w:val="00047FCD"/>
    <w:rsid w:val="000501A9"/>
    <w:rsid w:val="000505DA"/>
    <w:rsid w:val="000506D2"/>
    <w:rsid w:val="0005092B"/>
    <w:rsid w:val="00051429"/>
    <w:rsid w:val="000515E8"/>
    <w:rsid w:val="00052390"/>
    <w:rsid w:val="000524DA"/>
    <w:rsid w:val="000526C4"/>
    <w:rsid w:val="00052812"/>
    <w:rsid w:val="00052C7E"/>
    <w:rsid w:val="00052CDD"/>
    <w:rsid w:val="0005309F"/>
    <w:rsid w:val="00053391"/>
    <w:rsid w:val="00053640"/>
    <w:rsid w:val="000537FB"/>
    <w:rsid w:val="000539BA"/>
    <w:rsid w:val="00053B8B"/>
    <w:rsid w:val="00053F0A"/>
    <w:rsid w:val="00054437"/>
    <w:rsid w:val="00054595"/>
    <w:rsid w:val="000549DD"/>
    <w:rsid w:val="00054A25"/>
    <w:rsid w:val="0005532A"/>
    <w:rsid w:val="0005558A"/>
    <w:rsid w:val="00055891"/>
    <w:rsid w:val="0005592E"/>
    <w:rsid w:val="00055CFC"/>
    <w:rsid w:val="00055EAF"/>
    <w:rsid w:val="00056056"/>
    <w:rsid w:val="0005624A"/>
    <w:rsid w:val="0005647D"/>
    <w:rsid w:val="000564DC"/>
    <w:rsid w:val="0005659F"/>
    <w:rsid w:val="00056748"/>
    <w:rsid w:val="00056A0E"/>
    <w:rsid w:val="0005785A"/>
    <w:rsid w:val="000579D4"/>
    <w:rsid w:val="00057D3A"/>
    <w:rsid w:val="00057D95"/>
    <w:rsid w:val="00060896"/>
    <w:rsid w:val="00060B9D"/>
    <w:rsid w:val="00060E70"/>
    <w:rsid w:val="00060FA3"/>
    <w:rsid w:val="00061090"/>
    <w:rsid w:val="0006178A"/>
    <w:rsid w:val="00061A26"/>
    <w:rsid w:val="00061B73"/>
    <w:rsid w:val="00061CF5"/>
    <w:rsid w:val="00061E4B"/>
    <w:rsid w:val="00061E9C"/>
    <w:rsid w:val="000624E7"/>
    <w:rsid w:val="0006253D"/>
    <w:rsid w:val="000629CE"/>
    <w:rsid w:val="00062CE6"/>
    <w:rsid w:val="0006314A"/>
    <w:rsid w:val="000633F6"/>
    <w:rsid w:val="00063BB8"/>
    <w:rsid w:val="00063EEF"/>
    <w:rsid w:val="0006407D"/>
    <w:rsid w:val="000642BF"/>
    <w:rsid w:val="00064599"/>
    <w:rsid w:val="000645A2"/>
    <w:rsid w:val="00064986"/>
    <w:rsid w:val="00064A0F"/>
    <w:rsid w:val="00065044"/>
    <w:rsid w:val="000652A4"/>
    <w:rsid w:val="000654A1"/>
    <w:rsid w:val="000654C0"/>
    <w:rsid w:val="00065596"/>
    <w:rsid w:val="000658EF"/>
    <w:rsid w:val="00065C15"/>
    <w:rsid w:val="00065DFC"/>
    <w:rsid w:val="00066009"/>
    <w:rsid w:val="000665DB"/>
    <w:rsid w:val="00066D54"/>
    <w:rsid w:val="00066FE3"/>
    <w:rsid w:val="00067198"/>
    <w:rsid w:val="0006793C"/>
    <w:rsid w:val="00067CD6"/>
    <w:rsid w:val="00067F87"/>
    <w:rsid w:val="00067F96"/>
    <w:rsid w:val="000701FE"/>
    <w:rsid w:val="00070253"/>
    <w:rsid w:val="000704F2"/>
    <w:rsid w:val="00070B32"/>
    <w:rsid w:val="00070C02"/>
    <w:rsid w:val="00070C88"/>
    <w:rsid w:val="00070F79"/>
    <w:rsid w:val="00071242"/>
    <w:rsid w:val="000713E6"/>
    <w:rsid w:val="00071404"/>
    <w:rsid w:val="0007194D"/>
    <w:rsid w:val="00071BBE"/>
    <w:rsid w:val="00071CAA"/>
    <w:rsid w:val="00071CC5"/>
    <w:rsid w:val="00071E97"/>
    <w:rsid w:val="00071EE1"/>
    <w:rsid w:val="00072217"/>
    <w:rsid w:val="0007228D"/>
    <w:rsid w:val="00072331"/>
    <w:rsid w:val="00072DD2"/>
    <w:rsid w:val="00072FE4"/>
    <w:rsid w:val="000733F9"/>
    <w:rsid w:val="0007359D"/>
    <w:rsid w:val="0007372D"/>
    <w:rsid w:val="00073A2B"/>
    <w:rsid w:val="00073DE6"/>
    <w:rsid w:val="00073E11"/>
    <w:rsid w:val="00074238"/>
    <w:rsid w:val="00074666"/>
    <w:rsid w:val="000746B4"/>
    <w:rsid w:val="000746D6"/>
    <w:rsid w:val="00074BF1"/>
    <w:rsid w:val="00074C3E"/>
    <w:rsid w:val="00074C62"/>
    <w:rsid w:val="000751D4"/>
    <w:rsid w:val="00075257"/>
    <w:rsid w:val="000753D1"/>
    <w:rsid w:val="00075698"/>
    <w:rsid w:val="00075804"/>
    <w:rsid w:val="00075CDF"/>
    <w:rsid w:val="00076574"/>
    <w:rsid w:val="00077048"/>
    <w:rsid w:val="000775F4"/>
    <w:rsid w:val="0007795A"/>
    <w:rsid w:val="00077D54"/>
    <w:rsid w:val="00077E67"/>
    <w:rsid w:val="00080039"/>
    <w:rsid w:val="00080123"/>
    <w:rsid w:val="000806F1"/>
    <w:rsid w:val="00080B80"/>
    <w:rsid w:val="00080EAB"/>
    <w:rsid w:val="00080EC8"/>
    <w:rsid w:val="00080EF0"/>
    <w:rsid w:val="00081459"/>
    <w:rsid w:val="00081473"/>
    <w:rsid w:val="00081606"/>
    <w:rsid w:val="0008172F"/>
    <w:rsid w:val="000819FC"/>
    <w:rsid w:val="00081EA0"/>
    <w:rsid w:val="00081F4F"/>
    <w:rsid w:val="000821F3"/>
    <w:rsid w:val="00082620"/>
    <w:rsid w:val="0008285C"/>
    <w:rsid w:val="00082929"/>
    <w:rsid w:val="000829BB"/>
    <w:rsid w:val="00082CBA"/>
    <w:rsid w:val="00083AB1"/>
    <w:rsid w:val="000840E1"/>
    <w:rsid w:val="00084744"/>
    <w:rsid w:val="00085186"/>
    <w:rsid w:val="0008534F"/>
    <w:rsid w:val="0008582E"/>
    <w:rsid w:val="00085FB3"/>
    <w:rsid w:val="0008626F"/>
    <w:rsid w:val="000862D1"/>
    <w:rsid w:val="000869FE"/>
    <w:rsid w:val="00086D01"/>
    <w:rsid w:val="00086F5F"/>
    <w:rsid w:val="00087036"/>
    <w:rsid w:val="00087125"/>
    <w:rsid w:val="0008720A"/>
    <w:rsid w:val="00087FA2"/>
    <w:rsid w:val="000903F3"/>
    <w:rsid w:val="000912CA"/>
    <w:rsid w:val="00091561"/>
    <w:rsid w:val="00091719"/>
    <w:rsid w:val="00091B52"/>
    <w:rsid w:val="00091C86"/>
    <w:rsid w:val="00091CDF"/>
    <w:rsid w:val="000921C4"/>
    <w:rsid w:val="00092445"/>
    <w:rsid w:val="00092772"/>
    <w:rsid w:val="000928F1"/>
    <w:rsid w:val="00092ECF"/>
    <w:rsid w:val="000933DF"/>
    <w:rsid w:val="0009395B"/>
    <w:rsid w:val="00093AFE"/>
    <w:rsid w:val="00093CEF"/>
    <w:rsid w:val="00093DA7"/>
    <w:rsid w:val="00093F03"/>
    <w:rsid w:val="000943D1"/>
    <w:rsid w:val="000945E9"/>
    <w:rsid w:val="000947D3"/>
    <w:rsid w:val="00095596"/>
    <w:rsid w:val="000956A5"/>
    <w:rsid w:val="00095B86"/>
    <w:rsid w:val="00096D87"/>
    <w:rsid w:val="00096DB3"/>
    <w:rsid w:val="00097082"/>
    <w:rsid w:val="0009732F"/>
    <w:rsid w:val="00097531"/>
    <w:rsid w:val="00097708"/>
    <w:rsid w:val="000A00D6"/>
    <w:rsid w:val="000A0343"/>
    <w:rsid w:val="000A1550"/>
    <w:rsid w:val="000A191D"/>
    <w:rsid w:val="000A1EA4"/>
    <w:rsid w:val="000A1FDD"/>
    <w:rsid w:val="000A221A"/>
    <w:rsid w:val="000A270C"/>
    <w:rsid w:val="000A2BD0"/>
    <w:rsid w:val="000A30FD"/>
    <w:rsid w:val="000A327F"/>
    <w:rsid w:val="000A3612"/>
    <w:rsid w:val="000A3C7C"/>
    <w:rsid w:val="000A3C87"/>
    <w:rsid w:val="000A3FC0"/>
    <w:rsid w:val="000A4741"/>
    <w:rsid w:val="000A4858"/>
    <w:rsid w:val="000A4F0F"/>
    <w:rsid w:val="000A5113"/>
    <w:rsid w:val="000A5534"/>
    <w:rsid w:val="000A5535"/>
    <w:rsid w:val="000A559A"/>
    <w:rsid w:val="000A5772"/>
    <w:rsid w:val="000A5919"/>
    <w:rsid w:val="000A5A1C"/>
    <w:rsid w:val="000A5D87"/>
    <w:rsid w:val="000A5DD9"/>
    <w:rsid w:val="000A6180"/>
    <w:rsid w:val="000A6416"/>
    <w:rsid w:val="000A641D"/>
    <w:rsid w:val="000A68F6"/>
    <w:rsid w:val="000A6E35"/>
    <w:rsid w:val="000A6FAC"/>
    <w:rsid w:val="000A7689"/>
    <w:rsid w:val="000A7AE9"/>
    <w:rsid w:val="000A7BF1"/>
    <w:rsid w:val="000B0091"/>
    <w:rsid w:val="000B01DC"/>
    <w:rsid w:val="000B0491"/>
    <w:rsid w:val="000B0812"/>
    <w:rsid w:val="000B08C5"/>
    <w:rsid w:val="000B0D49"/>
    <w:rsid w:val="000B0E99"/>
    <w:rsid w:val="000B0FDA"/>
    <w:rsid w:val="000B10AD"/>
    <w:rsid w:val="000B1197"/>
    <w:rsid w:val="000B1744"/>
    <w:rsid w:val="000B1C9D"/>
    <w:rsid w:val="000B222C"/>
    <w:rsid w:val="000B228B"/>
    <w:rsid w:val="000B2A6D"/>
    <w:rsid w:val="000B2A83"/>
    <w:rsid w:val="000B2B5D"/>
    <w:rsid w:val="000B2B6B"/>
    <w:rsid w:val="000B2DEB"/>
    <w:rsid w:val="000B2E49"/>
    <w:rsid w:val="000B2E66"/>
    <w:rsid w:val="000B32E4"/>
    <w:rsid w:val="000B34ED"/>
    <w:rsid w:val="000B45A1"/>
    <w:rsid w:val="000B461F"/>
    <w:rsid w:val="000B4A72"/>
    <w:rsid w:val="000B504E"/>
    <w:rsid w:val="000B51A3"/>
    <w:rsid w:val="000B580A"/>
    <w:rsid w:val="000B5893"/>
    <w:rsid w:val="000B5975"/>
    <w:rsid w:val="000B59D4"/>
    <w:rsid w:val="000B5B3A"/>
    <w:rsid w:val="000B5C58"/>
    <w:rsid w:val="000B6440"/>
    <w:rsid w:val="000B6492"/>
    <w:rsid w:val="000B6CEC"/>
    <w:rsid w:val="000B6F03"/>
    <w:rsid w:val="000B708F"/>
    <w:rsid w:val="000B70CA"/>
    <w:rsid w:val="000B769A"/>
    <w:rsid w:val="000B7756"/>
    <w:rsid w:val="000B7AC4"/>
    <w:rsid w:val="000B7C4D"/>
    <w:rsid w:val="000B7C88"/>
    <w:rsid w:val="000C00FB"/>
    <w:rsid w:val="000C01DE"/>
    <w:rsid w:val="000C030F"/>
    <w:rsid w:val="000C0720"/>
    <w:rsid w:val="000C0972"/>
    <w:rsid w:val="000C0DD9"/>
    <w:rsid w:val="000C0DF4"/>
    <w:rsid w:val="000C0FA3"/>
    <w:rsid w:val="000C13BC"/>
    <w:rsid w:val="000C1434"/>
    <w:rsid w:val="000C15EC"/>
    <w:rsid w:val="000C17E2"/>
    <w:rsid w:val="000C1CA8"/>
    <w:rsid w:val="000C2191"/>
    <w:rsid w:val="000C2255"/>
    <w:rsid w:val="000C23A9"/>
    <w:rsid w:val="000C25E7"/>
    <w:rsid w:val="000C2638"/>
    <w:rsid w:val="000C2952"/>
    <w:rsid w:val="000C2A29"/>
    <w:rsid w:val="000C2AA8"/>
    <w:rsid w:val="000C2FA0"/>
    <w:rsid w:val="000C32B5"/>
    <w:rsid w:val="000C332E"/>
    <w:rsid w:val="000C3D05"/>
    <w:rsid w:val="000C43FD"/>
    <w:rsid w:val="000C48A7"/>
    <w:rsid w:val="000C48F4"/>
    <w:rsid w:val="000C511E"/>
    <w:rsid w:val="000C534D"/>
    <w:rsid w:val="000C56BD"/>
    <w:rsid w:val="000C5DBD"/>
    <w:rsid w:val="000C5E11"/>
    <w:rsid w:val="000C6091"/>
    <w:rsid w:val="000C646B"/>
    <w:rsid w:val="000C6701"/>
    <w:rsid w:val="000C67F5"/>
    <w:rsid w:val="000C6C10"/>
    <w:rsid w:val="000C6CFD"/>
    <w:rsid w:val="000C7181"/>
    <w:rsid w:val="000C7300"/>
    <w:rsid w:val="000C7327"/>
    <w:rsid w:val="000C7614"/>
    <w:rsid w:val="000C7865"/>
    <w:rsid w:val="000C7ABE"/>
    <w:rsid w:val="000C7C8E"/>
    <w:rsid w:val="000C7DF1"/>
    <w:rsid w:val="000D0228"/>
    <w:rsid w:val="000D04AB"/>
    <w:rsid w:val="000D061B"/>
    <w:rsid w:val="000D075A"/>
    <w:rsid w:val="000D0C2F"/>
    <w:rsid w:val="000D0C34"/>
    <w:rsid w:val="000D0F0D"/>
    <w:rsid w:val="000D130C"/>
    <w:rsid w:val="000D14E0"/>
    <w:rsid w:val="000D18C2"/>
    <w:rsid w:val="000D1E57"/>
    <w:rsid w:val="000D2165"/>
    <w:rsid w:val="000D244E"/>
    <w:rsid w:val="000D2772"/>
    <w:rsid w:val="000D2A31"/>
    <w:rsid w:val="000D2D12"/>
    <w:rsid w:val="000D2E86"/>
    <w:rsid w:val="000D38F2"/>
    <w:rsid w:val="000D39A3"/>
    <w:rsid w:val="000D3D25"/>
    <w:rsid w:val="000D3FDD"/>
    <w:rsid w:val="000D41CF"/>
    <w:rsid w:val="000D4B8C"/>
    <w:rsid w:val="000D4DB3"/>
    <w:rsid w:val="000D533B"/>
    <w:rsid w:val="000D5547"/>
    <w:rsid w:val="000D5639"/>
    <w:rsid w:val="000D5CF1"/>
    <w:rsid w:val="000D5E47"/>
    <w:rsid w:val="000D63AD"/>
    <w:rsid w:val="000D63E1"/>
    <w:rsid w:val="000D65A9"/>
    <w:rsid w:val="000D6883"/>
    <w:rsid w:val="000D6C6C"/>
    <w:rsid w:val="000D6D61"/>
    <w:rsid w:val="000D71A1"/>
    <w:rsid w:val="000D72CD"/>
    <w:rsid w:val="000D73B7"/>
    <w:rsid w:val="000D7434"/>
    <w:rsid w:val="000D74D4"/>
    <w:rsid w:val="000D77D1"/>
    <w:rsid w:val="000D79AB"/>
    <w:rsid w:val="000E0354"/>
    <w:rsid w:val="000E0602"/>
    <w:rsid w:val="000E0A01"/>
    <w:rsid w:val="000E0B25"/>
    <w:rsid w:val="000E0E22"/>
    <w:rsid w:val="000E11AA"/>
    <w:rsid w:val="000E1446"/>
    <w:rsid w:val="000E14F4"/>
    <w:rsid w:val="000E18B9"/>
    <w:rsid w:val="000E1D89"/>
    <w:rsid w:val="000E22EB"/>
    <w:rsid w:val="000E26C3"/>
    <w:rsid w:val="000E28AF"/>
    <w:rsid w:val="000E2CA8"/>
    <w:rsid w:val="000E31B6"/>
    <w:rsid w:val="000E375F"/>
    <w:rsid w:val="000E3821"/>
    <w:rsid w:val="000E39ED"/>
    <w:rsid w:val="000E3C64"/>
    <w:rsid w:val="000E43AC"/>
    <w:rsid w:val="000E44CA"/>
    <w:rsid w:val="000E47A2"/>
    <w:rsid w:val="000E4C79"/>
    <w:rsid w:val="000E4C87"/>
    <w:rsid w:val="000E4E76"/>
    <w:rsid w:val="000E50A6"/>
    <w:rsid w:val="000E529F"/>
    <w:rsid w:val="000E5529"/>
    <w:rsid w:val="000E5B07"/>
    <w:rsid w:val="000E5B22"/>
    <w:rsid w:val="000E5D0A"/>
    <w:rsid w:val="000E6265"/>
    <w:rsid w:val="000E62C1"/>
    <w:rsid w:val="000E6609"/>
    <w:rsid w:val="000E666C"/>
    <w:rsid w:val="000E6732"/>
    <w:rsid w:val="000E6988"/>
    <w:rsid w:val="000E6B5A"/>
    <w:rsid w:val="000E6BA7"/>
    <w:rsid w:val="000E6CBC"/>
    <w:rsid w:val="000E709D"/>
    <w:rsid w:val="000E75B5"/>
    <w:rsid w:val="000E75D3"/>
    <w:rsid w:val="000E78C3"/>
    <w:rsid w:val="000E7986"/>
    <w:rsid w:val="000E7C13"/>
    <w:rsid w:val="000F0070"/>
    <w:rsid w:val="000F016A"/>
    <w:rsid w:val="000F0233"/>
    <w:rsid w:val="000F069C"/>
    <w:rsid w:val="000F06EB"/>
    <w:rsid w:val="000F0A1B"/>
    <w:rsid w:val="000F0C65"/>
    <w:rsid w:val="000F0D6D"/>
    <w:rsid w:val="000F122E"/>
    <w:rsid w:val="000F1298"/>
    <w:rsid w:val="000F170F"/>
    <w:rsid w:val="000F1801"/>
    <w:rsid w:val="000F1A18"/>
    <w:rsid w:val="000F21BC"/>
    <w:rsid w:val="000F2628"/>
    <w:rsid w:val="000F2AE8"/>
    <w:rsid w:val="000F31CB"/>
    <w:rsid w:val="000F31FE"/>
    <w:rsid w:val="000F3248"/>
    <w:rsid w:val="000F327B"/>
    <w:rsid w:val="000F3724"/>
    <w:rsid w:val="000F37D8"/>
    <w:rsid w:val="000F384E"/>
    <w:rsid w:val="000F3F43"/>
    <w:rsid w:val="000F48C1"/>
    <w:rsid w:val="000F551A"/>
    <w:rsid w:val="000F5ECC"/>
    <w:rsid w:val="000F60F9"/>
    <w:rsid w:val="000F63F7"/>
    <w:rsid w:val="000F6439"/>
    <w:rsid w:val="000F6928"/>
    <w:rsid w:val="000F6D95"/>
    <w:rsid w:val="000F7297"/>
    <w:rsid w:val="000F73C7"/>
    <w:rsid w:val="000F75C7"/>
    <w:rsid w:val="000F76C0"/>
    <w:rsid w:val="000F77CF"/>
    <w:rsid w:val="000F7B06"/>
    <w:rsid w:val="000F7CC6"/>
    <w:rsid w:val="00100059"/>
    <w:rsid w:val="001003F5"/>
    <w:rsid w:val="00100A5F"/>
    <w:rsid w:val="00100D25"/>
    <w:rsid w:val="0010116D"/>
    <w:rsid w:val="00101349"/>
    <w:rsid w:val="001017C3"/>
    <w:rsid w:val="00101946"/>
    <w:rsid w:val="001019D4"/>
    <w:rsid w:val="00101A6F"/>
    <w:rsid w:val="00101F40"/>
    <w:rsid w:val="00101FEA"/>
    <w:rsid w:val="0010200E"/>
    <w:rsid w:val="001020D4"/>
    <w:rsid w:val="00102190"/>
    <w:rsid w:val="00102390"/>
    <w:rsid w:val="0010276D"/>
    <w:rsid w:val="00102CEB"/>
    <w:rsid w:val="00103216"/>
    <w:rsid w:val="001033BE"/>
    <w:rsid w:val="001038A3"/>
    <w:rsid w:val="00103A5C"/>
    <w:rsid w:val="00104124"/>
    <w:rsid w:val="001041DF"/>
    <w:rsid w:val="00104221"/>
    <w:rsid w:val="0010481D"/>
    <w:rsid w:val="00104947"/>
    <w:rsid w:val="001049E5"/>
    <w:rsid w:val="00104DF3"/>
    <w:rsid w:val="00104E13"/>
    <w:rsid w:val="00104E83"/>
    <w:rsid w:val="00104F93"/>
    <w:rsid w:val="001052FB"/>
    <w:rsid w:val="00105A93"/>
    <w:rsid w:val="00105CFB"/>
    <w:rsid w:val="00105D38"/>
    <w:rsid w:val="00105D6A"/>
    <w:rsid w:val="001062B1"/>
    <w:rsid w:val="001064B2"/>
    <w:rsid w:val="001065C0"/>
    <w:rsid w:val="00106B2C"/>
    <w:rsid w:val="00106F5B"/>
    <w:rsid w:val="001071D6"/>
    <w:rsid w:val="0010729C"/>
    <w:rsid w:val="00107677"/>
    <w:rsid w:val="0010781A"/>
    <w:rsid w:val="00107CF8"/>
    <w:rsid w:val="0011014B"/>
    <w:rsid w:val="001101CE"/>
    <w:rsid w:val="0011048E"/>
    <w:rsid w:val="0011080E"/>
    <w:rsid w:val="00110820"/>
    <w:rsid w:val="00110827"/>
    <w:rsid w:val="00110849"/>
    <w:rsid w:val="00110919"/>
    <w:rsid w:val="00110A9D"/>
    <w:rsid w:val="00110E47"/>
    <w:rsid w:val="00110F67"/>
    <w:rsid w:val="0011144F"/>
    <w:rsid w:val="001114C1"/>
    <w:rsid w:val="001115C6"/>
    <w:rsid w:val="00111C67"/>
    <w:rsid w:val="00112143"/>
    <w:rsid w:val="0011291C"/>
    <w:rsid w:val="00112999"/>
    <w:rsid w:val="001130A2"/>
    <w:rsid w:val="001136C2"/>
    <w:rsid w:val="00113756"/>
    <w:rsid w:val="001137AD"/>
    <w:rsid w:val="00113A30"/>
    <w:rsid w:val="00113A42"/>
    <w:rsid w:val="00114ADF"/>
    <w:rsid w:val="0011510C"/>
    <w:rsid w:val="0011531C"/>
    <w:rsid w:val="0011532F"/>
    <w:rsid w:val="00115800"/>
    <w:rsid w:val="00115D12"/>
    <w:rsid w:val="00115DC7"/>
    <w:rsid w:val="00115E95"/>
    <w:rsid w:val="00115FBA"/>
    <w:rsid w:val="00116074"/>
    <w:rsid w:val="0011614F"/>
    <w:rsid w:val="001161DE"/>
    <w:rsid w:val="00116661"/>
    <w:rsid w:val="001167BF"/>
    <w:rsid w:val="00116A64"/>
    <w:rsid w:val="00116A89"/>
    <w:rsid w:val="0011705F"/>
    <w:rsid w:val="00117124"/>
    <w:rsid w:val="0011717C"/>
    <w:rsid w:val="00117278"/>
    <w:rsid w:val="00117537"/>
    <w:rsid w:val="001175B9"/>
    <w:rsid w:val="00117950"/>
    <w:rsid w:val="00117D0E"/>
    <w:rsid w:val="00117D81"/>
    <w:rsid w:val="00120B33"/>
    <w:rsid w:val="00120BBA"/>
    <w:rsid w:val="00120CFD"/>
    <w:rsid w:val="00121516"/>
    <w:rsid w:val="0012169A"/>
    <w:rsid w:val="001216CB"/>
    <w:rsid w:val="00121922"/>
    <w:rsid w:val="00121CAC"/>
    <w:rsid w:val="00121CB5"/>
    <w:rsid w:val="001224A2"/>
    <w:rsid w:val="00122556"/>
    <w:rsid w:val="00122BCB"/>
    <w:rsid w:val="00122E70"/>
    <w:rsid w:val="00122F06"/>
    <w:rsid w:val="001236AB"/>
    <w:rsid w:val="001237EB"/>
    <w:rsid w:val="0012418E"/>
    <w:rsid w:val="001241ED"/>
    <w:rsid w:val="001243E7"/>
    <w:rsid w:val="00124661"/>
    <w:rsid w:val="00124F33"/>
    <w:rsid w:val="00125027"/>
    <w:rsid w:val="001250F3"/>
    <w:rsid w:val="00125160"/>
    <w:rsid w:val="00125206"/>
    <w:rsid w:val="0012553D"/>
    <w:rsid w:val="00125871"/>
    <w:rsid w:val="001258E5"/>
    <w:rsid w:val="001258FE"/>
    <w:rsid w:val="00125B97"/>
    <w:rsid w:val="00125F71"/>
    <w:rsid w:val="0012642D"/>
    <w:rsid w:val="00126865"/>
    <w:rsid w:val="00126878"/>
    <w:rsid w:val="001268A3"/>
    <w:rsid w:val="00126CEB"/>
    <w:rsid w:val="00126E58"/>
    <w:rsid w:val="00127030"/>
    <w:rsid w:val="001274ED"/>
    <w:rsid w:val="00127611"/>
    <w:rsid w:val="0012785E"/>
    <w:rsid w:val="00127A61"/>
    <w:rsid w:val="00127C61"/>
    <w:rsid w:val="00127FBC"/>
    <w:rsid w:val="00130029"/>
    <w:rsid w:val="0013013A"/>
    <w:rsid w:val="001301BF"/>
    <w:rsid w:val="00130678"/>
    <w:rsid w:val="00130B3B"/>
    <w:rsid w:val="00130C35"/>
    <w:rsid w:val="00130FF4"/>
    <w:rsid w:val="00131405"/>
    <w:rsid w:val="0013181F"/>
    <w:rsid w:val="00131864"/>
    <w:rsid w:val="00131A61"/>
    <w:rsid w:val="00131A82"/>
    <w:rsid w:val="00131BCA"/>
    <w:rsid w:val="00131BFD"/>
    <w:rsid w:val="00132053"/>
    <w:rsid w:val="001322DA"/>
    <w:rsid w:val="00132342"/>
    <w:rsid w:val="00132377"/>
    <w:rsid w:val="0013248B"/>
    <w:rsid w:val="00132501"/>
    <w:rsid w:val="00132651"/>
    <w:rsid w:val="00132A18"/>
    <w:rsid w:val="00132ABD"/>
    <w:rsid w:val="0013314F"/>
    <w:rsid w:val="001331BF"/>
    <w:rsid w:val="0013347F"/>
    <w:rsid w:val="001337EC"/>
    <w:rsid w:val="0013445E"/>
    <w:rsid w:val="001346A2"/>
    <w:rsid w:val="00134716"/>
    <w:rsid w:val="0013475A"/>
    <w:rsid w:val="00134D10"/>
    <w:rsid w:val="0013525B"/>
    <w:rsid w:val="001352A1"/>
    <w:rsid w:val="0013579A"/>
    <w:rsid w:val="00135A0F"/>
    <w:rsid w:val="00135D32"/>
    <w:rsid w:val="00135EB0"/>
    <w:rsid w:val="001360BC"/>
    <w:rsid w:val="001368D7"/>
    <w:rsid w:val="00136A01"/>
    <w:rsid w:val="00136A19"/>
    <w:rsid w:val="00136B6F"/>
    <w:rsid w:val="00136D2C"/>
    <w:rsid w:val="00136F59"/>
    <w:rsid w:val="00137010"/>
    <w:rsid w:val="0013720A"/>
    <w:rsid w:val="00137295"/>
    <w:rsid w:val="00137325"/>
    <w:rsid w:val="00137393"/>
    <w:rsid w:val="00137594"/>
    <w:rsid w:val="001377AE"/>
    <w:rsid w:val="00137C80"/>
    <w:rsid w:val="00137F23"/>
    <w:rsid w:val="00137F57"/>
    <w:rsid w:val="00140435"/>
    <w:rsid w:val="00140A02"/>
    <w:rsid w:val="00140C12"/>
    <w:rsid w:val="00140C2E"/>
    <w:rsid w:val="00140D18"/>
    <w:rsid w:val="00140DAE"/>
    <w:rsid w:val="00141167"/>
    <w:rsid w:val="001414EF"/>
    <w:rsid w:val="00141675"/>
    <w:rsid w:val="0014171E"/>
    <w:rsid w:val="00141742"/>
    <w:rsid w:val="001419C9"/>
    <w:rsid w:val="001419D5"/>
    <w:rsid w:val="00141B5D"/>
    <w:rsid w:val="00141E85"/>
    <w:rsid w:val="00141F51"/>
    <w:rsid w:val="00142405"/>
    <w:rsid w:val="0014240C"/>
    <w:rsid w:val="001429ED"/>
    <w:rsid w:val="00142B68"/>
    <w:rsid w:val="00142B6A"/>
    <w:rsid w:val="00142C78"/>
    <w:rsid w:val="00142D6B"/>
    <w:rsid w:val="00142E75"/>
    <w:rsid w:val="00143022"/>
    <w:rsid w:val="001431DF"/>
    <w:rsid w:val="00143219"/>
    <w:rsid w:val="00143304"/>
    <w:rsid w:val="0014340C"/>
    <w:rsid w:val="00143942"/>
    <w:rsid w:val="001439C7"/>
    <w:rsid w:val="00143EA8"/>
    <w:rsid w:val="00144376"/>
    <w:rsid w:val="00144573"/>
    <w:rsid w:val="00144577"/>
    <w:rsid w:val="001450B1"/>
    <w:rsid w:val="001451C1"/>
    <w:rsid w:val="00145229"/>
    <w:rsid w:val="00145418"/>
    <w:rsid w:val="001455F0"/>
    <w:rsid w:val="0014571F"/>
    <w:rsid w:val="00145ABD"/>
    <w:rsid w:val="00145AC5"/>
    <w:rsid w:val="00145C45"/>
    <w:rsid w:val="00145F85"/>
    <w:rsid w:val="00145FD9"/>
    <w:rsid w:val="00146242"/>
    <w:rsid w:val="00146487"/>
    <w:rsid w:val="0014659B"/>
    <w:rsid w:val="001465A2"/>
    <w:rsid w:val="00146698"/>
    <w:rsid w:val="0014678A"/>
    <w:rsid w:val="00146934"/>
    <w:rsid w:val="00146F8A"/>
    <w:rsid w:val="00147349"/>
    <w:rsid w:val="00147A5A"/>
    <w:rsid w:val="00147CD4"/>
    <w:rsid w:val="00147D15"/>
    <w:rsid w:val="00147D92"/>
    <w:rsid w:val="00147FAA"/>
    <w:rsid w:val="001507D7"/>
    <w:rsid w:val="00150858"/>
    <w:rsid w:val="00150944"/>
    <w:rsid w:val="00150CDA"/>
    <w:rsid w:val="00150DB9"/>
    <w:rsid w:val="00150F69"/>
    <w:rsid w:val="0015108A"/>
    <w:rsid w:val="00151390"/>
    <w:rsid w:val="00151560"/>
    <w:rsid w:val="001518E6"/>
    <w:rsid w:val="00151F4C"/>
    <w:rsid w:val="00152281"/>
    <w:rsid w:val="0015289C"/>
    <w:rsid w:val="00152BDC"/>
    <w:rsid w:val="00152E28"/>
    <w:rsid w:val="00153118"/>
    <w:rsid w:val="001533E3"/>
    <w:rsid w:val="00153450"/>
    <w:rsid w:val="00153498"/>
    <w:rsid w:val="0015354F"/>
    <w:rsid w:val="0015357B"/>
    <w:rsid w:val="00153811"/>
    <w:rsid w:val="001539D4"/>
    <w:rsid w:val="0015415A"/>
    <w:rsid w:val="001542B5"/>
    <w:rsid w:val="0015438A"/>
    <w:rsid w:val="001543C3"/>
    <w:rsid w:val="00154498"/>
    <w:rsid w:val="00154FC9"/>
    <w:rsid w:val="0015533E"/>
    <w:rsid w:val="00155757"/>
    <w:rsid w:val="001558FD"/>
    <w:rsid w:val="00155BE8"/>
    <w:rsid w:val="00155D2D"/>
    <w:rsid w:val="00155E32"/>
    <w:rsid w:val="00155E7D"/>
    <w:rsid w:val="00156017"/>
    <w:rsid w:val="001561B0"/>
    <w:rsid w:val="001566FC"/>
    <w:rsid w:val="00156AB5"/>
    <w:rsid w:val="00156D22"/>
    <w:rsid w:val="00156D53"/>
    <w:rsid w:val="0015702B"/>
    <w:rsid w:val="001572B7"/>
    <w:rsid w:val="001575E3"/>
    <w:rsid w:val="001578CD"/>
    <w:rsid w:val="00157C39"/>
    <w:rsid w:val="00157C6A"/>
    <w:rsid w:val="001601FF"/>
    <w:rsid w:val="0016033A"/>
    <w:rsid w:val="001606A6"/>
    <w:rsid w:val="001606E5"/>
    <w:rsid w:val="0016075E"/>
    <w:rsid w:val="001608C9"/>
    <w:rsid w:val="00160A5D"/>
    <w:rsid w:val="00160A87"/>
    <w:rsid w:val="00160B94"/>
    <w:rsid w:val="00160EE8"/>
    <w:rsid w:val="00160F3A"/>
    <w:rsid w:val="001611D3"/>
    <w:rsid w:val="0016145C"/>
    <w:rsid w:val="00161775"/>
    <w:rsid w:val="00161879"/>
    <w:rsid w:val="00162278"/>
    <w:rsid w:val="001626AE"/>
    <w:rsid w:val="0016270D"/>
    <w:rsid w:val="00162D6D"/>
    <w:rsid w:val="0016304D"/>
    <w:rsid w:val="0016307F"/>
    <w:rsid w:val="001636CF"/>
    <w:rsid w:val="0016370C"/>
    <w:rsid w:val="00163AE3"/>
    <w:rsid w:val="00163D43"/>
    <w:rsid w:val="00163F83"/>
    <w:rsid w:val="001644A8"/>
    <w:rsid w:val="0016451D"/>
    <w:rsid w:val="001645F4"/>
    <w:rsid w:val="00164652"/>
    <w:rsid w:val="001647EA"/>
    <w:rsid w:val="00164B49"/>
    <w:rsid w:val="00164C49"/>
    <w:rsid w:val="00164E94"/>
    <w:rsid w:val="001650D0"/>
    <w:rsid w:val="00165262"/>
    <w:rsid w:val="00165292"/>
    <w:rsid w:val="0016550C"/>
    <w:rsid w:val="00165C59"/>
    <w:rsid w:val="00165D22"/>
    <w:rsid w:val="001665EE"/>
    <w:rsid w:val="00166613"/>
    <w:rsid w:val="001666E2"/>
    <w:rsid w:val="001667AC"/>
    <w:rsid w:val="00166858"/>
    <w:rsid w:val="00166D65"/>
    <w:rsid w:val="00166D98"/>
    <w:rsid w:val="00167075"/>
    <w:rsid w:val="001673CD"/>
    <w:rsid w:val="00167750"/>
    <w:rsid w:val="00167F5C"/>
    <w:rsid w:val="00167FAA"/>
    <w:rsid w:val="00170116"/>
    <w:rsid w:val="00170125"/>
    <w:rsid w:val="00170223"/>
    <w:rsid w:val="001702E8"/>
    <w:rsid w:val="001703C3"/>
    <w:rsid w:val="0017054D"/>
    <w:rsid w:val="0017077B"/>
    <w:rsid w:val="0017083E"/>
    <w:rsid w:val="00170859"/>
    <w:rsid w:val="00170CE8"/>
    <w:rsid w:val="00170D84"/>
    <w:rsid w:val="00171187"/>
    <w:rsid w:val="00171375"/>
    <w:rsid w:val="00171A7E"/>
    <w:rsid w:val="00171BD5"/>
    <w:rsid w:val="00171BEB"/>
    <w:rsid w:val="001724CB"/>
    <w:rsid w:val="00172B92"/>
    <w:rsid w:val="00172CBA"/>
    <w:rsid w:val="0017326C"/>
    <w:rsid w:val="0017328D"/>
    <w:rsid w:val="001735B6"/>
    <w:rsid w:val="0017378B"/>
    <w:rsid w:val="001739BE"/>
    <w:rsid w:val="00173F52"/>
    <w:rsid w:val="00173FE0"/>
    <w:rsid w:val="00174291"/>
    <w:rsid w:val="001742B6"/>
    <w:rsid w:val="001747B2"/>
    <w:rsid w:val="00174B54"/>
    <w:rsid w:val="00174C02"/>
    <w:rsid w:val="00174DF7"/>
    <w:rsid w:val="00175274"/>
    <w:rsid w:val="00175421"/>
    <w:rsid w:val="001757E8"/>
    <w:rsid w:val="00175831"/>
    <w:rsid w:val="00175857"/>
    <w:rsid w:val="0017593D"/>
    <w:rsid w:val="00175969"/>
    <w:rsid w:val="00175973"/>
    <w:rsid w:val="001759A0"/>
    <w:rsid w:val="001759ED"/>
    <w:rsid w:val="00175EEC"/>
    <w:rsid w:val="00175F27"/>
    <w:rsid w:val="00176849"/>
    <w:rsid w:val="001768BE"/>
    <w:rsid w:val="00176A0A"/>
    <w:rsid w:val="00176AF9"/>
    <w:rsid w:val="00176CA5"/>
    <w:rsid w:val="001770C5"/>
    <w:rsid w:val="00177457"/>
    <w:rsid w:val="0017763F"/>
    <w:rsid w:val="00177A33"/>
    <w:rsid w:val="00177C0C"/>
    <w:rsid w:val="0018002A"/>
    <w:rsid w:val="0018023A"/>
    <w:rsid w:val="0018077D"/>
    <w:rsid w:val="00180C04"/>
    <w:rsid w:val="00180D7B"/>
    <w:rsid w:val="00181D84"/>
    <w:rsid w:val="00181FAA"/>
    <w:rsid w:val="00181FD9"/>
    <w:rsid w:val="0018213E"/>
    <w:rsid w:val="001821EB"/>
    <w:rsid w:val="001827E6"/>
    <w:rsid w:val="001828CB"/>
    <w:rsid w:val="00182F70"/>
    <w:rsid w:val="001833AE"/>
    <w:rsid w:val="00183840"/>
    <w:rsid w:val="001839D8"/>
    <w:rsid w:val="00183C0C"/>
    <w:rsid w:val="00183E8F"/>
    <w:rsid w:val="00184550"/>
    <w:rsid w:val="0018475D"/>
    <w:rsid w:val="0018478A"/>
    <w:rsid w:val="001849B3"/>
    <w:rsid w:val="00184A65"/>
    <w:rsid w:val="00184A92"/>
    <w:rsid w:val="00184BC9"/>
    <w:rsid w:val="00184DB7"/>
    <w:rsid w:val="00184F05"/>
    <w:rsid w:val="001851E0"/>
    <w:rsid w:val="00185B10"/>
    <w:rsid w:val="00185CEF"/>
    <w:rsid w:val="00185F12"/>
    <w:rsid w:val="00186238"/>
    <w:rsid w:val="001864CC"/>
    <w:rsid w:val="001865E0"/>
    <w:rsid w:val="00186F46"/>
    <w:rsid w:val="0018771F"/>
    <w:rsid w:val="00187C9A"/>
    <w:rsid w:val="00187CA6"/>
    <w:rsid w:val="00187EF8"/>
    <w:rsid w:val="00190014"/>
    <w:rsid w:val="001901A7"/>
    <w:rsid w:val="001902AF"/>
    <w:rsid w:val="001903CF"/>
    <w:rsid w:val="00190493"/>
    <w:rsid w:val="001908FE"/>
    <w:rsid w:val="00190A65"/>
    <w:rsid w:val="00190D27"/>
    <w:rsid w:val="0019100E"/>
    <w:rsid w:val="001915CD"/>
    <w:rsid w:val="00191773"/>
    <w:rsid w:val="00191C49"/>
    <w:rsid w:val="00192063"/>
    <w:rsid w:val="001920DF"/>
    <w:rsid w:val="0019269C"/>
    <w:rsid w:val="00192961"/>
    <w:rsid w:val="00192C25"/>
    <w:rsid w:val="00192D54"/>
    <w:rsid w:val="00192F4F"/>
    <w:rsid w:val="001930BE"/>
    <w:rsid w:val="00193405"/>
    <w:rsid w:val="00193580"/>
    <w:rsid w:val="001936BC"/>
    <w:rsid w:val="0019416D"/>
    <w:rsid w:val="001941AF"/>
    <w:rsid w:val="001944F3"/>
    <w:rsid w:val="001952CB"/>
    <w:rsid w:val="001952CE"/>
    <w:rsid w:val="00195314"/>
    <w:rsid w:val="0019570C"/>
    <w:rsid w:val="0019578E"/>
    <w:rsid w:val="00195BA7"/>
    <w:rsid w:val="00195D3D"/>
    <w:rsid w:val="00195FD2"/>
    <w:rsid w:val="0019609D"/>
    <w:rsid w:val="001963A5"/>
    <w:rsid w:val="001963DD"/>
    <w:rsid w:val="001965B9"/>
    <w:rsid w:val="00196E84"/>
    <w:rsid w:val="0019708B"/>
    <w:rsid w:val="00197484"/>
    <w:rsid w:val="00197746"/>
    <w:rsid w:val="00197A1C"/>
    <w:rsid w:val="00197BB6"/>
    <w:rsid w:val="00197D63"/>
    <w:rsid w:val="001A00B1"/>
    <w:rsid w:val="001A01BE"/>
    <w:rsid w:val="001A044F"/>
    <w:rsid w:val="001A0534"/>
    <w:rsid w:val="001A0851"/>
    <w:rsid w:val="001A08A0"/>
    <w:rsid w:val="001A0996"/>
    <w:rsid w:val="001A0A2A"/>
    <w:rsid w:val="001A0E31"/>
    <w:rsid w:val="001A0FBB"/>
    <w:rsid w:val="001A12D8"/>
    <w:rsid w:val="001A1323"/>
    <w:rsid w:val="001A155D"/>
    <w:rsid w:val="001A1C1D"/>
    <w:rsid w:val="001A1C6D"/>
    <w:rsid w:val="001A1DD2"/>
    <w:rsid w:val="001A1E56"/>
    <w:rsid w:val="001A1F08"/>
    <w:rsid w:val="001A22A3"/>
    <w:rsid w:val="001A25A5"/>
    <w:rsid w:val="001A339B"/>
    <w:rsid w:val="001A3675"/>
    <w:rsid w:val="001A36A7"/>
    <w:rsid w:val="001A3B51"/>
    <w:rsid w:val="001A3E59"/>
    <w:rsid w:val="001A45E1"/>
    <w:rsid w:val="001A46BA"/>
    <w:rsid w:val="001A4D9D"/>
    <w:rsid w:val="001A4E3D"/>
    <w:rsid w:val="001A4EE3"/>
    <w:rsid w:val="001A5176"/>
    <w:rsid w:val="001A51B5"/>
    <w:rsid w:val="001A52DD"/>
    <w:rsid w:val="001A5515"/>
    <w:rsid w:val="001A585F"/>
    <w:rsid w:val="001A5ADD"/>
    <w:rsid w:val="001A5CB9"/>
    <w:rsid w:val="001A652D"/>
    <w:rsid w:val="001A6819"/>
    <w:rsid w:val="001A71C9"/>
    <w:rsid w:val="001A7415"/>
    <w:rsid w:val="001A7418"/>
    <w:rsid w:val="001A786C"/>
    <w:rsid w:val="001A7E8A"/>
    <w:rsid w:val="001B00F8"/>
    <w:rsid w:val="001B0330"/>
    <w:rsid w:val="001B079A"/>
    <w:rsid w:val="001B098C"/>
    <w:rsid w:val="001B0C4F"/>
    <w:rsid w:val="001B1035"/>
    <w:rsid w:val="001B1724"/>
    <w:rsid w:val="001B17CD"/>
    <w:rsid w:val="001B1DCF"/>
    <w:rsid w:val="001B2063"/>
    <w:rsid w:val="001B2182"/>
    <w:rsid w:val="001B2697"/>
    <w:rsid w:val="001B2A01"/>
    <w:rsid w:val="001B2ABD"/>
    <w:rsid w:val="001B3018"/>
    <w:rsid w:val="001B36F7"/>
    <w:rsid w:val="001B379C"/>
    <w:rsid w:val="001B4631"/>
    <w:rsid w:val="001B4655"/>
    <w:rsid w:val="001B4746"/>
    <w:rsid w:val="001B47D8"/>
    <w:rsid w:val="001B48D3"/>
    <w:rsid w:val="001B5224"/>
    <w:rsid w:val="001B5257"/>
    <w:rsid w:val="001B53E1"/>
    <w:rsid w:val="001B55F0"/>
    <w:rsid w:val="001B5616"/>
    <w:rsid w:val="001B575D"/>
    <w:rsid w:val="001B58B2"/>
    <w:rsid w:val="001B5967"/>
    <w:rsid w:val="001B5B1F"/>
    <w:rsid w:val="001B5DD7"/>
    <w:rsid w:val="001B5F45"/>
    <w:rsid w:val="001B6167"/>
    <w:rsid w:val="001B6597"/>
    <w:rsid w:val="001B65C6"/>
    <w:rsid w:val="001B664F"/>
    <w:rsid w:val="001B672F"/>
    <w:rsid w:val="001B6949"/>
    <w:rsid w:val="001B6F35"/>
    <w:rsid w:val="001B6FBD"/>
    <w:rsid w:val="001B73AE"/>
    <w:rsid w:val="001B7635"/>
    <w:rsid w:val="001B76B6"/>
    <w:rsid w:val="001B78BE"/>
    <w:rsid w:val="001B79E6"/>
    <w:rsid w:val="001B7A1C"/>
    <w:rsid w:val="001B7C65"/>
    <w:rsid w:val="001B7CC5"/>
    <w:rsid w:val="001B7CD9"/>
    <w:rsid w:val="001B7DD8"/>
    <w:rsid w:val="001C0CCE"/>
    <w:rsid w:val="001C0FBF"/>
    <w:rsid w:val="001C105D"/>
    <w:rsid w:val="001C14DF"/>
    <w:rsid w:val="001C1708"/>
    <w:rsid w:val="001C1E56"/>
    <w:rsid w:val="001C2595"/>
    <w:rsid w:val="001C26F6"/>
    <w:rsid w:val="001C28C0"/>
    <w:rsid w:val="001C29AA"/>
    <w:rsid w:val="001C2B3D"/>
    <w:rsid w:val="001C2E87"/>
    <w:rsid w:val="001C375D"/>
    <w:rsid w:val="001C4590"/>
    <w:rsid w:val="001C48F7"/>
    <w:rsid w:val="001C4EF9"/>
    <w:rsid w:val="001C55D3"/>
    <w:rsid w:val="001C58CD"/>
    <w:rsid w:val="001C5D83"/>
    <w:rsid w:val="001C60DF"/>
    <w:rsid w:val="001C63CD"/>
    <w:rsid w:val="001C6495"/>
    <w:rsid w:val="001C6560"/>
    <w:rsid w:val="001C6590"/>
    <w:rsid w:val="001C67EF"/>
    <w:rsid w:val="001C685F"/>
    <w:rsid w:val="001C69DB"/>
    <w:rsid w:val="001C7013"/>
    <w:rsid w:val="001C721D"/>
    <w:rsid w:val="001C755A"/>
    <w:rsid w:val="001C79EF"/>
    <w:rsid w:val="001C7D54"/>
    <w:rsid w:val="001C7DEF"/>
    <w:rsid w:val="001C7EB4"/>
    <w:rsid w:val="001C7FD5"/>
    <w:rsid w:val="001D01D9"/>
    <w:rsid w:val="001D03D4"/>
    <w:rsid w:val="001D05BE"/>
    <w:rsid w:val="001D070F"/>
    <w:rsid w:val="001D0B8A"/>
    <w:rsid w:val="001D0B8E"/>
    <w:rsid w:val="001D0D90"/>
    <w:rsid w:val="001D0DE9"/>
    <w:rsid w:val="001D14F3"/>
    <w:rsid w:val="001D1584"/>
    <w:rsid w:val="001D1AFC"/>
    <w:rsid w:val="001D1B95"/>
    <w:rsid w:val="001D1F0A"/>
    <w:rsid w:val="001D2185"/>
    <w:rsid w:val="001D21A3"/>
    <w:rsid w:val="001D2477"/>
    <w:rsid w:val="001D2525"/>
    <w:rsid w:val="001D253C"/>
    <w:rsid w:val="001D2543"/>
    <w:rsid w:val="001D2A79"/>
    <w:rsid w:val="001D307D"/>
    <w:rsid w:val="001D3310"/>
    <w:rsid w:val="001D3480"/>
    <w:rsid w:val="001D34F9"/>
    <w:rsid w:val="001D367B"/>
    <w:rsid w:val="001D3686"/>
    <w:rsid w:val="001D3C8C"/>
    <w:rsid w:val="001D43D7"/>
    <w:rsid w:val="001D4404"/>
    <w:rsid w:val="001D48AE"/>
    <w:rsid w:val="001D51A6"/>
    <w:rsid w:val="001D56CD"/>
    <w:rsid w:val="001D585C"/>
    <w:rsid w:val="001D6211"/>
    <w:rsid w:val="001D6264"/>
    <w:rsid w:val="001D63B2"/>
    <w:rsid w:val="001D697D"/>
    <w:rsid w:val="001D69AE"/>
    <w:rsid w:val="001D6A25"/>
    <w:rsid w:val="001D786D"/>
    <w:rsid w:val="001D7EC8"/>
    <w:rsid w:val="001D7F73"/>
    <w:rsid w:val="001E0184"/>
    <w:rsid w:val="001E06AB"/>
    <w:rsid w:val="001E0A81"/>
    <w:rsid w:val="001E148C"/>
    <w:rsid w:val="001E1679"/>
    <w:rsid w:val="001E18DE"/>
    <w:rsid w:val="001E1A11"/>
    <w:rsid w:val="001E1B6D"/>
    <w:rsid w:val="001E1E7A"/>
    <w:rsid w:val="001E2082"/>
    <w:rsid w:val="001E2592"/>
    <w:rsid w:val="001E2760"/>
    <w:rsid w:val="001E2788"/>
    <w:rsid w:val="001E28EC"/>
    <w:rsid w:val="001E2A09"/>
    <w:rsid w:val="001E2B0A"/>
    <w:rsid w:val="001E2C00"/>
    <w:rsid w:val="001E32E8"/>
    <w:rsid w:val="001E3399"/>
    <w:rsid w:val="001E3637"/>
    <w:rsid w:val="001E3734"/>
    <w:rsid w:val="001E3F45"/>
    <w:rsid w:val="001E43F3"/>
    <w:rsid w:val="001E4455"/>
    <w:rsid w:val="001E4484"/>
    <w:rsid w:val="001E4657"/>
    <w:rsid w:val="001E4CCB"/>
    <w:rsid w:val="001E4CDC"/>
    <w:rsid w:val="001E53DC"/>
    <w:rsid w:val="001E577F"/>
    <w:rsid w:val="001E5996"/>
    <w:rsid w:val="001E5BFA"/>
    <w:rsid w:val="001E5D42"/>
    <w:rsid w:val="001E6CA2"/>
    <w:rsid w:val="001E732B"/>
    <w:rsid w:val="001E73AA"/>
    <w:rsid w:val="001E7479"/>
    <w:rsid w:val="001E76D2"/>
    <w:rsid w:val="001E784C"/>
    <w:rsid w:val="001E78B5"/>
    <w:rsid w:val="001E7C05"/>
    <w:rsid w:val="001F0094"/>
    <w:rsid w:val="001F01FB"/>
    <w:rsid w:val="001F05AA"/>
    <w:rsid w:val="001F077C"/>
    <w:rsid w:val="001F0C97"/>
    <w:rsid w:val="001F0D12"/>
    <w:rsid w:val="001F1168"/>
    <w:rsid w:val="001F12B9"/>
    <w:rsid w:val="001F14C6"/>
    <w:rsid w:val="001F1979"/>
    <w:rsid w:val="001F1A04"/>
    <w:rsid w:val="001F1BEC"/>
    <w:rsid w:val="001F1E02"/>
    <w:rsid w:val="001F201C"/>
    <w:rsid w:val="001F2023"/>
    <w:rsid w:val="001F27AC"/>
    <w:rsid w:val="001F2814"/>
    <w:rsid w:val="001F3258"/>
    <w:rsid w:val="001F3266"/>
    <w:rsid w:val="001F36E8"/>
    <w:rsid w:val="001F3FCD"/>
    <w:rsid w:val="001F4158"/>
    <w:rsid w:val="001F4440"/>
    <w:rsid w:val="001F4497"/>
    <w:rsid w:val="001F4732"/>
    <w:rsid w:val="001F4DC1"/>
    <w:rsid w:val="001F4F33"/>
    <w:rsid w:val="001F4F3B"/>
    <w:rsid w:val="001F5008"/>
    <w:rsid w:val="001F501A"/>
    <w:rsid w:val="001F50F8"/>
    <w:rsid w:val="001F552D"/>
    <w:rsid w:val="001F56A7"/>
    <w:rsid w:val="001F60C2"/>
    <w:rsid w:val="001F6190"/>
    <w:rsid w:val="001F64BC"/>
    <w:rsid w:val="001F6585"/>
    <w:rsid w:val="001F6A68"/>
    <w:rsid w:val="001F6EF9"/>
    <w:rsid w:val="001F7060"/>
    <w:rsid w:val="001F771C"/>
    <w:rsid w:val="001F7EC2"/>
    <w:rsid w:val="001F7F34"/>
    <w:rsid w:val="001F7FFD"/>
    <w:rsid w:val="002001E6"/>
    <w:rsid w:val="002003F4"/>
    <w:rsid w:val="002016D6"/>
    <w:rsid w:val="0020171E"/>
    <w:rsid w:val="00201851"/>
    <w:rsid w:val="00201BDF"/>
    <w:rsid w:val="00201F50"/>
    <w:rsid w:val="00201FCD"/>
    <w:rsid w:val="00202269"/>
    <w:rsid w:val="00202813"/>
    <w:rsid w:val="00203040"/>
    <w:rsid w:val="002036E0"/>
    <w:rsid w:val="00203720"/>
    <w:rsid w:val="002038DB"/>
    <w:rsid w:val="00204012"/>
    <w:rsid w:val="0020412A"/>
    <w:rsid w:val="002041CD"/>
    <w:rsid w:val="002042D7"/>
    <w:rsid w:val="0020446A"/>
    <w:rsid w:val="002045A4"/>
    <w:rsid w:val="00204782"/>
    <w:rsid w:val="00204AC9"/>
    <w:rsid w:val="00204B55"/>
    <w:rsid w:val="00204C78"/>
    <w:rsid w:val="00204F97"/>
    <w:rsid w:val="00205153"/>
    <w:rsid w:val="00205393"/>
    <w:rsid w:val="002054C6"/>
    <w:rsid w:val="002057FE"/>
    <w:rsid w:val="00205A2C"/>
    <w:rsid w:val="00205C47"/>
    <w:rsid w:val="00206222"/>
    <w:rsid w:val="002064E2"/>
    <w:rsid w:val="00206FD2"/>
    <w:rsid w:val="00207120"/>
    <w:rsid w:val="002072D2"/>
    <w:rsid w:val="002072F0"/>
    <w:rsid w:val="00207452"/>
    <w:rsid w:val="00207932"/>
    <w:rsid w:val="002101DF"/>
    <w:rsid w:val="002102D2"/>
    <w:rsid w:val="002108B0"/>
    <w:rsid w:val="002108E4"/>
    <w:rsid w:val="00210D4B"/>
    <w:rsid w:val="00211352"/>
    <w:rsid w:val="002115AD"/>
    <w:rsid w:val="00211716"/>
    <w:rsid w:val="002122EA"/>
    <w:rsid w:val="00212675"/>
    <w:rsid w:val="002127C9"/>
    <w:rsid w:val="00212835"/>
    <w:rsid w:val="00212AFE"/>
    <w:rsid w:val="00212D43"/>
    <w:rsid w:val="002133FF"/>
    <w:rsid w:val="0021346C"/>
    <w:rsid w:val="00213BA7"/>
    <w:rsid w:val="00213C7B"/>
    <w:rsid w:val="00213E22"/>
    <w:rsid w:val="00214019"/>
    <w:rsid w:val="002140FB"/>
    <w:rsid w:val="002144D4"/>
    <w:rsid w:val="002144F7"/>
    <w:rsid w:val="00214A26"/>
    <w:rsid w:val="00214BD4"/>
    <w:rsid w:val="0021567E"/>
    <w:rsid w:val="00215688"/>
    <w:rsid w:val="00215C20"/>
    <w:rsid w:val="00215F6B"/>
    <w:rsid w:val="00216777"/>
    <w:rsid w:val="0021686B"/>
    <w:rsid w:val="00216ACB"/>
    <w:rsid w:val="00216C1A"/>
    <w:rsid w:val="002171AB"/>
    <w:rsid w:val="002174D8"/>
    <w:rsid w:val="00217915"/>
    <w:rsid w:val="00217D77"/>
    <w:rsid w:val="00217FE5"/>
    <w:rsid w:val="0022002F"/>
    <w:rsid w:val="00220417"/>
    <w:rsid w:val="00220461"/>
    <w:rsid w:val="00220987"/>
    <w:rsid w:val="00220D1E"/>
    <w:rsid w:val="00220DED"/>
    <w:rsid w:val="0022137E"/>
    <w:rsid w:val="0022142F"/>
    <w:rsid w:val="00221735"/>
    <w:rsid w:val="00221EC3"/>
    <w:rsid w:val="00222018"/>
    <w:rsid w:val="0022225E"/>
    <w:rsid w:val="002222EA"/>
    <w:rsid w:val="0022255B"/>
    <w:rsid w:val="00222B43"/>
    <w:rsid w:val="00222BC7"/>
    <w:rsid w:val="00222EE9"/>
    <w:rsid w:val="002230B6"/>
    <w:rsid w:val="00223772"/>
    <w:rsid w:val="00223CF9"/>
    <w:rsid w:val="002240B4"/>
    <w:rsid w:val="00224306"/>
    <w:rsid w:val="00224A3C"/>
    <w:rsid w:val="00224CE5"/>
    <w:rsid w:val="00224E0F"/>
    <w:rsid w:val="002253B0"/>
    <w:rsid w:val="002253C4"/>
    <w:rsid w:val="002257C0"/>
    <w:rsid w:val="00225A3D"/>
    <w:rsid w:val="00225AB8"/>
    <w:rsid w:val="00225C3F"/>
    <w:rsid w:val="00225C8D"/>
    <w:rsid w:val="00225DCE"/>
    <w:rsid w:val="002263D5"/>
    <w:rsid w:val="00226616"/>
    <w:rsid w:val="0022668D"/>
    <w:rsid w:val="00226B69"/>
    <w:rsid w:val="00226C07"/>
    <w:rsid w:val="00226D47"/>
    <w:rsid w:val="00226EB0"/>
    <w:rsid w:val="00226F2A"/>
    <w:rsid w:val="00227297"/>
    <w:rsid w:val="00227D40"/>
    <w:rsid w:val="00227ED7"/>
    <w:rsid w:val="00230945"/>
    <w:rsid w:val="00230A65"/>
    <w:rsid w:val="00230B4B"/>
    <w:rsid w:val="00230DA4"/>
    <w:rsid w:val="00230E31"/>
    <w:rsid w:val="002313D3"/>
    <w:rsid w:val="002315AA"/>
    <w:rsid w:val="00231B46"/>
    <w:rsid w:val="00231B57"/>
    <w:rsid w:val="00231F27"/>
    <w:rsid w:val="002320C1"/>
    <w:rsid w:val="0023291A"/>
    <w:rsid w:val="00232CD0"/>
    <w:rsid w:val="00232DAE"/>
    <w:rsid w:val="002333A4"/>
    <w:rsid w:val="0023343D"/>
    <w:rsid w:val="002341FE"/>
    <w:rsid w:val="0023450C"/>
    <w:rsid w:val="0023492E"/>
    <w:rsid w:val="00234A04"/>
    <w:rsid w:val="00234B24"/>
    <w:rsid w:val="00234D89"/>
    <w:rsid w:val="002350DD"/>
    <w:rsid w:val="0023526B"/>
    <w:rsid w:val="002352EB"/>
    <w:rsid w:val="002355BC"/>
    <w:rsid w:val="00235975"/>
    <w:rsid w:val="00235AC0"/>
    <w:rsid w:val="00235D9A"/>
    <w:rsid w:val="00235DAC"/>
    <w:rsid w:val="002362A1"/>
    <w:rsid w:val="0023693E"/>
    <w:rsid w:val="0023760B"/>
    <w:rsid w:val="00237666"/>
    <w:rsid w:val="0023775E"/>
    <w:rsid w:val="002378B8"/>
    <w:rsid w:val="00237928"/>
    <w:rsid w:val="00237DCD"/>
    <w:rsid w:val="002400EC"/>
    <w:rsid w:val="0024030E"/>
    <w:rsid w:val="00240624"/>
    <w:rsid w:val="00240844"/>
    <w:rsid w:val="002409E7"/>
    <w:rsid w:val="00240C1C"/>
    <w:rsid w:val="00240DCB"/>
    <w:rsid w:val="00241644"/>
    <w:rsid w:val="00241A4F"/>
    <w:rsid w:val="00241E57"/>
    <w:rsid w:val="00242413"/>
    <w:rsid w:val="00242DE9"/>
    <w:rsid w:val="00243273"/>
    <w:rsid w:val="00243AE1"/>
    <w:rsid w:val="00243B5B"/>
    <w:rsid w:val="00243BC8"/>
    <w:rsid w:val="00243CCA"/>
    <w:rsid w:val="00243D80"/>
    <w:rsid w:val="00243EB7"/>
    <w:rsid w:val="0024409B"/>
    <w:rsid w:val="002440E1"/>
    <w:rsid w:val="00244128"/>
    <w:rsid w:val="00244332"/>
    <w:rsid w:val="0024463F"/>
    <w:rsid w:val="00244B63"/>
    <w:rsid w:val="00244B8E"/>
    <w:rsid w:val="00244DE6"/>
    <w:rsid w:val="002450A9"/>
    <w:rsid w:val="00245562"/>
    <w:rsid w:val="00245955"/>
    <w:rsid w:val="00245DE8"/>
    <w:rsid w:val="0024629B"/>
    <w:rsid w:val="002462B3"/>
    <w:rsid w:val="00246668"/>
    <w:rsid w:val="00246891"/>
    <w:rsid w:val="00246CDF"/>
    <w:rsid w:val="00246EC9"/>
    <w:rsid w:val="00246FA4"/>
    <w:rsid w:val="00247356"/>
    <w:rsid w:val="002476BF"/>
    <w:rsid w:val="002477F7"/>
    <w:rsid w:val="00247876"/>
    <w:rsid w:val="00247918"/>
    <w:rsid w:val="00250239"/>
    <w:rsid w:val="002503A5"/>
    <w:rsid w:val="002503F6"/>
    <w:rsid w:val="00250888"/>
    <w:rsid w:val="00250FFB"/>
    <w:rsid w:val="0025110C"/>
    <w:rsid w:val="00251CA3"/>
    <w:rsid w:val="002521A8"/>
    <w:rsid w:val="002523B0"/>
    <w:rsid w:val="00252A44"/>
    <w:rsid w:val="00252AB2"/>
    <w:rsid w:val="00252ED2"/>
    <w:rsid w:val="00253601"/>
    <w:rsid w:val="00253D95"/>
    <w:rsid w:val="00254098"/>
    <w:rsid w:val="00254574"/>
    <w:rsid w:val="00254E63"/>
    <w:rsid w:val="00254F32"/>
    <w:rsid w:val="002553BF"/>
    <w:rsid w:val="00255790"/>
    <w:rsid w:val="00255FAA"/>
    <w:rsid w:val="0025653C"/>
    <w:rsid w:val="002566E1"/>
    <w:rsid w:val="00256782"/>
    <w:rsid w:val="00256BFE"/>
    <w:rsid w:val="002570B2"/>
    <w:rsid w:val="00257132"/>
    <w:rsid w:val="002573A9"/>
    <w:rsid w:val="0025765D"/>
    <w:rsid w:val="00257727"/>
    <w:rsid w:val="00257854"/>
    <w:rsid w:val="002579B9"/>
    <w:rsid w:val="00257A8E"/>
    <w:rsid w:val="00257ABD"/>
    <w:rsid w:val="00257B1E"/>
    <w:rsid w:val="002600F8"/>
    <w:rsid w:val="00260110"/>
    <w:rsid w:val="002608EB"/>
    <w:rsid w:val="00260AA8"/>
    <w:rsid w:val="00260C82"/>
    <w:rsid w:val="00260D2A"/>
    <w:rsid w:val="0026136F"/>
    <w:rsid w:val="00261B1E"/>
    <w:rsid w:val="00261B3B"/>
    <w:rsid w:val="00261BF4"/>
    <w:rsid w:val="00261F0A"/>
    <w:rsid w:val="002624D9"/>
    <w:rsid w:val="0026281B"/>
    <w:rsid w:val="00262E79"/>
    <w:rsid w:val="00263BAC"/>
    <w:rsid w:val="00263BBF"/>
    <w:rsid w:val="00263BD1"/>
    <w:rsid w:val="00263E5A"/>
    <w:rsid w:val="002641D2"/>
    <w:rsid w:val="0026448D"/>
    <w:rsid w:val="00264746"/>
    <w:rsid w:val="00264AC6"/>
    <w:rsid w:val="00264C15"/>
    <w:rsid w:val="00264C30"/>
    <w:rsid w:val="0026511E"/>
    <w:rsid w:val="00265669"/>
    <w:rsid w:val="002656F9"/>
    <w:rsid w:val="00266186"/>
    <w:rsid w:val="00266368"/>
    <w:rsid w:val="00266831"/>
    <w:rsid w:val="002668E1"/>
    <w:rsid w:val="00266C48"/>
    <w:rsid w:val="00266DBA"/>
    <w:rsid w:val="00267234"/>
    <w:rsid w:val="00267509"/>
    <w:rsid w:val="002675D3"/>
    <w:rsid w:val="002678F1"/>
    <w:rsid w:val="00267AAA"/>
    <w:rsid w:val="00267BBF"/>
    <w:rsid w:val="00270205"/>
    <w:rsid w:val="002707AD"/>
    <w:rsid w:val="00270993"/>
    <w:rsid w:val="00270A3B"/>
    <w:rsid w:val="00270DAE"/>
    <w:rsid w:val="00270E92"/>
    <w:rsid w:val="002714DC"/>
    <w:rsid w:val="00271642"/>
    <w:rsid w:val="0027165C"/>
    <w:rsid w:val="00271A1F"/>
    <w:rsid w:val="00272151"/>
    <w:rsid w:val="002722F1"/>
    <w:rsid w:val="00272301"/>
    <w:rsid w:val="002725D9"/>
    <w:rsid w:val="002726CF"/>
    <w:rsid w:val="00272D66"/>
    <w:rsid w:val="00272DB4"/>
    <w:rsid w:val="002730B0"/>
    <w:rsid w:val="0027315D"/>
    <w:rsid w:val="0027356D"/>
    <w:rsid w:val="002737FB"/>
    <w:rsid w:val="00273A80"/>
    <w:rsid w:val="00273A85"/>
    <w:rsid w:val="00273D10"/>
    <w:rsid w:val="00273E9B"/>
    <w:rsid w:val="00273EA5"/>
    <w:rsid w:val="00273F24"/>
    <w:rsid w:val="00274262"/>
    <w:rsid w:val="00274412"/>
    <w:rsid w:val="0027463B"/>
    <w:rsid w:val="0027478B"/>
    <w:rsid w:val="002747F6"/>
    <w:rsid w:val="0027497E"/>
    <w:rsid w:val="00274DE0"/>
    <w:rsid w:val="002751BE"/>
    <w:rsid w:val="00275362"/>
    <w:rsid w:val="002755B0"/>
    <w:rsid w:val="00275639"/>
    <w:rsid w:val="00275788"/>
    <w:rsid w:val="00275AC0"/>
    <w:rsid w:val="00275BB1"/>
    <w:rsid w:val="00275C6A"/>
    <w:rsid w:val="00275E80"/>
    <w:rsid w:val="00276124"/>
    <w:rsid w:val="00276139"/>
    <w:rsid w:val="002765CD"/>
    <w:rsid w:val="002769E2"/>
    <w:rsid w:val="00276AE7"/>
    <w:rsid w:val="00276E33"/>
    <w:rsid w:val="00276F30"/>
    <w:rsid w:val="00276F97"/>
    <w:rsid w:val="002770CB"/>
    <w:rsid w:val="0027754F"/>
    <w:rsid w:val="00277A9B"/>
    <w:rsid w:val="00277F7A"/>
    <w:rsid w:val="00280321"/>
    <w:rsid w:val="00280438"/>
    <w:rsid w:val="0028057B"/>
    <w:rsid w:val="00280751"/>
    <w:rsid w:val="00280DA7"/>
    <w:rsid w:val="00280E0D"/>
    <w:rsid w:val="002812E8"/>
    <w:rsid w:val="002816B0"/>
    <w:rsid w:val="00281A82"/>
    <w:rsid w:val="00281EEC"/>
    <w:rsid w:val="0028317C"/>
    <w:rsid w:val="00283509"/>
    <w:rsid w:val="002837C3"/>
    <w:rsid w:val="00283A92"/>
    <w:rsid w:val="00283B4C"/>
    <w:rsid w:val="00283E9E"/>
    <w:rsid w:val="00283F5C"/>
    <w:rsid w:val="002842C4"/>
    <w:rsid w:val="00284396"/>
    <w:rsid w:val="00284902"/>
    <w:rsid w:val="00284D1C"/>
    <w:rsid w:val="002856B5"/>
    <w:rsid w:val="0028570C"/>
    <w:rsid w:val="002858A0"/>
    <w:rsid w:val="00285BCC"/>
    <w:rsid w:val="00285EAE"/>
    <w:rsid w:val="00286542"/>
    <w:rsid w:val="00286B7C"/>
    <w:rsid w:val="00286CA9"/>
    <w:rsid w:val="00286D54"/>
    <w:rsid w:val="00286E2C"/>
    <w:rsid w:val="00286F46"/>
    <w:rsid w:val="00287111"/>
    <w:rsid w:val="00287177"/>
    <w:rsid w:val="002875AD"/>
    <w:rsid w:val="002876F8"/>
    <w:rsid w:val="00287AFF"/>
    <w:rsid w:val="00287CD9"/>
    <w:rsid w:val="00287EE3"/>
    <w:rsid w:val="00287F79"/>
    <w:rsid w:val="0028A5A0"/>
    <w:rsid w:val="00290131"/>
    <w:rsid w:val="00290141"/>
    <w:rsid w:val="00290CF9"/>
    <w:rsid w:val="00290D55"/>
    <w:rsid w:val="0029106A"/>
    <w:rsid w:val="00291C00"/>
    <w:rsid w:val="002922AD"/>
    <w:rsid w:val="00292321"/>
    <w:rsid w:val="00292B6A"/>
    <w:rsid w:val="00293653"/>
    <w:rsid w:val="0029368D"/>
    <w:rsid w:val="00293937"/>
    <w:rsid w:val="00293965"/>
    <w:rsid w:val="00293D79"/>
    <w:rsid w:val="002943E2"/>
    <w:rsid w:val="0029474C"/>
    <w:rsid w:val="00294883"/>
    <w:rsid w:val="002948B5"/>
    <w:rsid w:val="00294CAC"/>
    <w:rsid w:val="00294EE1"/>
    <w:rsid w:val="00295123"/>
    <w:rsid w:val="00295360"/>
    <w:rsid w:val="002955B3"/>
    <w:rsid w:val="00295640"/>
    <w:rsid w:val="00295866"/>
    <w:rsid w:val="00295FC6"/>
    <w:rsid w:val="00296041"/>
    <w:rsid w:val="002963A3"/>
    <w:rsid w:val="002968C0"/>
    <w:rsid w:val="00297202"/>
    <w:rsid w:val="002973A4"/>
    <w:rsid w:val="00297F74"/>
    <w:rsid w:val="002A0527"/>
    <w:rsid w:val="002A06AD"/>
    <w:rsid w:val="002A0B0E"/>
    <w:rsid w:val="002A0B2E"/>
    <w:rsid w:val="002A0B83"/>
    <w:rsid w:val="002A11A4"/>
    <w:rsid w:val="002A1729"/>
    <w:rsid w:val="002A18E2"/>
    <w:rsid w:val="002A1C19"/>
    <w:rsid w:val="002A1C97"/>
    <w:rsid w:val="002A1CE0"/>
    <w:rsid w:val="002A1D75"/>
    <w:rsid w:val="002A2BA1"/>
    <w:rsid w:val="002A2BE4"/>
    <w:rsid w:val="002A355F"/>
    <w:rsid w:val="002A3ADC"/>
    <w:rsid w:val="002A3E08"/>
    <w:rsid w:val="002A3E21"/>
    <w:rsid w:val="002A4654"/>
    <w:rsid w:val="002A4748"/>
    <w:rsid w:val="002A50C5"/>
    <w:rsid w:val="002A51E4"/>
    <w:rsid w:val="002A5623"/>
    <w:rsid w:val="002A5857"/>
    <w:rsid w:val="002A5EEB"/>
    <w:rsid w:val="002A651C"/>
    <w:rsid w:val="002A6976"/>
    <w:rsid w:val="002A6B70"/>
    <w:rsid w:val="002A6D9C"/>
    <w:rsid w:val="002A7539"/>
    <w:rsid w:val="002A7653"/>
    <w:rsid w:val="002A79DC"/>
    <w:rsid w:val="002B04C6"/>
    <w:rsid w:val="002B0A51"/>
    <w:rsid w:val="002B0A56"/>
    <w:rsid w:val="002B0CB5"/>
    <w:rsid w:val="002B12DF"/>
    <w:rsid w:val="002B13C0"/>
    <w:rsid w:val="002B14E8"/>
    <w:rsid w:val="002B1930"/>
    <w:rsid w:val="002B1CE1"/>
    <w:rsid w:val="002B22E7"/>
    <w:rsid w:val="002B27D3"/>
    <w:rsid w:val="002B27F7"/>
    <w:rsid w:val="002B2912"/>
    <w:rsid w:val="002B2E0B"/>
    <w:rsid w:val="002B2E33"/>
    <w:rsid w:val="002B302E"/>
    <w:rsid w:val="002B34AE"/>
    <w:rsid w:val="002B361F"/>
    <w:rsid w:val="002B39FF"/>
    <w:rsid w:val="002B3BA6"/>
    <w:rsid w:val="002B4003"/>
    <w:rsid w:val="002B42A3"/>
    <w:rsid w:val="002B4407"/>
    <w:rsid w:val="002B448D"/>
    <w:rsid w:val="002B4AE3"/>
    <w:rsid w:val="002B52FE"/>
    <w:rsid w:val="002B577C"/>
    <w:rsid w:val="002B5786"/>
    <w:rsid w:val="002B5884"/>
    <w:rsid w:val="002B6044"/>
    <w:rsid w:val="002B640A"/>
    <w:rsid w:val="002B6427"/>
    <w:rsid w:val="002B69C8"/>
    <w:rsid w:val="002B71F1"/>
    <w:rsid w:val="002B762B"/>
    <w:rsid w:val="002B7C40"/>
    <w:rsid w:val="002B7E3E"/>
    <w:rsid w:val="002B7F9F"/>
    <w:rsid w:val="002C01E1"/>
    <w:rsid w:val="002C041A"/>
    <w:rsid w:val="002C06A8"/>
    <w:rsid w:val="002C0883"/>
    <w:rsid w:val="002C0A46"/>
    <w:rsid w:val="002C1187"/>
    <w:rsid w:val="002C19B9"/>
    <w:rsid w:val="002C1A8F"/>
    <w:rsid w:val="002C1AB1"/>
    <w:rsid w:val="002C1DB0"/>
    <w:rsid w:val="002C1DE2"/>
    <w:rsid w:val="002C2F22"/>
    <w:rsid w:val="002C3288"/>
    <w:rsid w:val="002C3757"/>
    <w:rsid w:val="002C3CE4"/>
    <w:rsid w:val="002C3F0B"/>
    <w:rsid w:val="002C4143"/>
    <w:rsid w:val="002C4601"/>
    <w:rsid w:val="002C470A"/>
    <w:rsid w:val="002C49BB"/>
    <w:rsid w:val="002C4BD3"/>
    <w:rsid w:val="002C4CF7"/>
    <w:rsid w:val="002C4DD2"/>
    <w:rsid w:val="002C5153"/>
    <w:rsid w:val="002C5213"/>
    <w:rsid w:val="002C52AC"/>
    <w:rsid w:val="002C58C9"/>
    <w:rsid w:val="002C5D46"/>
    <w:rsid w:val="002C5D80"/>
    <w:rsid w:val="002C5DC2"/>
    <w:rsid w:val="002C5EA0"/>
    <w:rsid w:val="002C6179"/>
    <w:rsid w:val="002C6315"/>
    <w:rsid w:val="002C664A"/>
    <w:rsid w:val="002C6D50"/>
    <w:rsid w:val="002C734F"/>
    <w:rsid w:val="002C7DE3"/>
    <w:rsid w:val="002C7FC1"/>
    <w:rsid w:val="002D0014"/>
    <w:rsid w:val="002D0518"/>
    <w:rsid w:val="002D0583"/>
    <w:rsid w:val="002D05DB"/>
    <w:rsid w:val="002D078D"/>
    <w:rsid w:val="002D0981"/>
    <w:rsid w:val="002D0C50"/>
    <w:rsid w:val="002D0F25"/>
    <w:rsid w:val="002D1385"/>
    <w:rsid w:val="002D18C2"/>
    <w:rsid w:val="002D1E7F"/>
    <w:rsid w:val="002D229C"/>
    <w:rsid w:val="002D2461"/>
    <w:rsid w:val="002D27CC"/>
    <w:rsid w:val="002D29A1"/>
    <w:rsid w:val="002D2CB3"/>
    <w:rsid w:val="002D2F0D"/>
    <w:rsid w:val="002D3595"/>
    <w:rsid w:val="002D4748"/>
    <w:rsid w:val="002D4842"/>
    <w:rsid w:val="002D4CD6"/>
    <w:rsid w:val="002D4EB1"/>
    <w:rsid w:val="002D525F"/>
    <w:rsid w:val="002D5262"/>
    <w:rsid w:val="002D537C"/>
    <w:rsid w:val="002D56C0"/>
    <w:rsid w:val="002D57F2"/>
    <w:rsid w:val="002D583C"/>
    <w:rsid w:val="002D59F9"/>
    <w:rsid w:val="002D5E38"/>
    <w:rsid w:val="002D5F2D"/>
    <w:rsid w:val="002D5F5B"/>
    <w:rsid w:val="002D652A"/>
    <w:rsid w:val="002D6630"/>
    <w:rsid w:val="002D6C64"/>
    <w:rsid w:val="002D6D9E"/>
    <w:rsid w:val="002D6EB6"/>
    <w:rsid w:val="002D7598"/>
    <w:rsid w:val="002D7A58"/>
    <w:rsid w:val="002D7C34"/>
    <w:rsid w:val="002D7D7F"/>
    <w:rsid w:val="002E010E"/>
    <w:rsid w:val="002E03BF"/>
    <w:rsid w:val="002E0B3D"/>
    <w:rsid w:val="002E0E65"/>
    <w:rsid w:val="002E1254"/>
    <w:rsid w:val="002E17F8"/>
    <w:rsid w:val="002E1D19"/>
    <w:rsid w:val="002E2062"/>
    <w:rsid w:val="002E21FC"/>
    <w:rsid w:val="002E2283"/>
    <w:rsid w:val="002E2291"/>
    <w:rsid w:val="002E2515"/>
    <w:rsid w:val="002E289B"/>
    <w:rsid w:val="002E2CD2"/>
    <w:rsid w:val="002E2F25"/>
    <w:rsid w:val="002E31CE"/>
    <w:rsid w:val="002E3203"/>
    <w:rsid w:val="002E33C8"/>
    <w:rsid w:val="002E3407"/>
    <w:rsid w:val="002E3465"/>
    <w:rsid w:val="002E36A2"/>
    <w:rsid w:val="002E388F"/>
    <w:rsid w:val="002E38B2"/>
    <w:rsid w:val="002E394D"/>
    <w:rsid w:val="002E3AAE"/>
    <w:rsid w:val="002E4167"/>
    <w:rsid w:val="002E42AE"/>
    <w:rsid w:val="002E452D"/>
    <w:rsid w:val="002E4AA0"/>
    <w:rsid w:val="002E4DCA"/>
    <w:rsid w:val="002E4E75"/>
    <w:rsid w:val="002E4EC1"/>
    <w:rsid w:val="002E4F94"/>
    <w:rsid w:val="002E56E3"/>
    <w:rsid w:val="002E58F2"/>
    <w:rsid w:val="002E5B11"/>
    <w:rsid w:val="002E5D04"/>
    <w:rsid w:val="002E5D3D"/>
    <w:rsid w:val="002E5DAC"/>
    <w:rsid w:val="002E5F4D"/>
    <w:rsid w:val="002E63AE"/>
    <w:rsid w:val="002E6978"/>
    <w:rsid w:val="002E6A5D"/>
    <w:rsid w:val="002E6A8F"/>
    <w:rsid w:val="002E6BD6"/>
    <w:rsid w:val="002E6C0D"/>
    <w:rsid w:val="002E7067"/>
    <w:rsid w:val="002E70E5"/>
    <w:rsid w:val="002E70FD"/>
    <w:rsid w:val="002E7537"/>
    <w:rsid w:val="002E77F2"/>
    <w:rsid w:val="002F0054"/>
    <w:rsid w:val="002F0178"/>
    <w:rsid w:val="002F01B8"/>
    <w:rsid w:val="002F0714"/>
    <w:rsid w:val="002F0786"/>
    <w:rsid w:val="002F1025"/>
    <w:rsid w:val="002F1322"/>
    <w:rsid w:val="002F1B1B"/>
    <w:rsid w:val="002F21D2"/>
    <w:rsid w:val="002F22A8"/>
    <w:rsid w:val="002F25F4"/>
    <w:rsid w:val="002F2604"/>
    <w:rsid w:val="002F342A"/>
    <w:rsid w:val="002F360C"/>
    <w:rsid w:val="002F3798"/>
    <w:rsid w:val="002F3AEC"/>
    <w:rsid w:val="002F4408"/>
    <w:rsid w:val="002F442C"/>
    <w:rsid w:val="002F4449"/>
    <w:rsid w:val="002F44B2"/>
    <w:rsid w:val="002F4AD2"/>
    <w:rsid w:val="002F4F05"/>
    <w:rsid w:val="002F4FEE"/>
    <w:rsid w:val="002F5108"/>
    <w:rsid w:val="002F5791"/>
    <w:rsid w:val="002F5A21"/>
    <w:rsid w:val="002F5D54"/>
    <w:rsid w:val="002F5EDB"/>
    <w:rsid w:val="002F5EFA"/>
    <w:rsid w:val="002F5F66"/>
    <w:rsid w:val="002F615A"/>
    <w:rsid w:val="002F678E"/>
    <w:rsid w:val="002F67AD"/>
    <w:rsid w:val="002F7036"/>
    <w:rsid w:val="002F7058"/>
    <w:rsid w:val="002F7239"/>
    <w:rsid w:val="002F7618"/>
    <w:rsid w:val="002F7779"/>
    <w:rsid w:val="002F77BB"/>
    <w:rsid w:val="002F78C6"/>
    <w:rsid w:val="002F7B35"/>
    <w:rsid w:val="002F7F2D"/>
    <w:rsid w:val="00300257"/>
    <w:rsid w:val="00300511"/>
    <w:rsid w:val="00300589"/>
    <w:rsid w:val="003007B0"/>
    <w:rsid w:val="00300838"/>
    <w:rsid w:val="00300853"/>
    <w:rsid w:val="00300863"/>
    <w:rsid w:val="00300A39"/>
    <w:rsid w:val="00300D1F"/>
    <w:rsid w:val="00300EFE"/>
    <w:rsid w:val="00301672"/>
    <w:rsid w:val="00301700"/>
    <w:rsid w:val="0030194E"/>
    <w:rsid w:val="00301AC8"/>
    <w:rsid w:val="00301BA0"/>
    <w:rsid w:val="00301FF2"/>
    <w:rsid w:val="00302042"/>
    <w:rsid w:val="003020D6"/>
    <w:rsid w:val="00303134"/>
    <w:rsid w:val="00303267"/>
    <w:rsid w:val="00303CAF"/>
    <w:rsid w:val="00304180"/>
    <w:rsid w:val="00304184"/>
    <w:rsid w:val="00304655"/>
    <w:rsid w:val="00304981"/>
    <w:rsid w:val="0030532E"/>
    <w:rsid w:val="0030580B"/>
    <w:rsid w:val="003062B5"/>
    <w:rsid w:val="0030635E"/>
    <w:rsid w:val="003064B4"/>
    <w:rsid w:val="003065D4"/>
    <w:rsid w:val="0030661C"/>
    <w:rsid w:val="00306712"/>
    <w:rsid w:val="003069D0"/>
    <w:rsid w:val="00306C98"/>
    <w:rsid w:val="00306E6D"/>
    <w:rsid w:val="0030705C"/>
    <w:rsid w:val="003077A4"/>
    <w:rsid w:val="003079C0"/>
    <w:rsid w:val="00307B28"/>
    <w:rsid w:val="0031022C"/>
    <w:rsid w:val="00310586"/>
    <w:rsid w:val="003105E6"/>
    <w:rsid w:val="00310AC4"/>
    <w:rsid w:val="00311141"/>
    <w:rsid w:val="0031115E"/>
    <w:rsid w:val="003112F3"/>
    <w:rsid w:val="00311465"/>
    <w:rsid w:val="00311D90"/>
    <w:rsid w:val="00311F33"/>
    <w:rsid w:val="0031267D"/>
    <w:rsid w:val="00312FBA"/>
    <w:rsid w:val="00313254"/>
    <w:rsid w:val="003132D8"/>
    <w:rsid w:val="00313AEF"/>
    <w:rsid w:val="00314017"/>
    <w:rsid w:val="0031414B"/>
    <w:rsid w:val="00314199"/>
    <w:rsid w:val="00314D22"/>
    <w:rsid w:val="00314F80"/>
    <w:rsid w:val="00314FC7"/>
    <w:rsid w:val="0031516F"/>
    <w:rsid w:val="003155FB"/>
    <w:rsid w:val="003157B7"/>
    <w:rsid w:val="003157BF"/>
    <w:rsid w:val="00315BD5"/>
    <w:rsid w:val="00315C39"/>
    <w:rsid w:val="00315D7E"/>
    <w:rsid w:val="00316A23"/>
    <w:rsid w:val="00316B6D"/>
    <w:rsid w:val="00316FC1"/>
    <w:rsid w:val="003173EA"/>
    <w:rsid w:val="0031766E"/>
    <w:rsid w:val="00317713"/>
    <w:rsid w:val="003177FA"/>
    <w:rsid w:val="00317A49"/>
    <w:rsid w:val="00317D9C"/>
    <w:rsid w:val="00317FD2"/>
    <w:rsid w:val="003204A6"/>
    <w:rsid w:val="003206AF"/>
    <w:rsid w:val="00320C91"/>
    <w:rsid w:val="00321441"/>
    <w:rsid w:val="00321466"/>
    <w:rsid w:val="003214A1"/>
    <w:rsid w:val="003215EF"/>
    <w:rsid w:val="00321718"/>
    <w:rsid w:val="003217FD"/>
    <w:rsid w:val="00321CC1"/>
    <w:rsid w:val="0032207A"/>
    <w:rsid w:val="00322119"/>
    <w:rsid w:val="0032217B"/>
    <w:rsid w:val="003225A8"/>
    <w:rsid w:val="0032264F"/>
    <w:rsid w:val="003229F4"/>
    <w:rsid w:val="003229F6"/>
    <w:rsid w:val="00322D22"/>
    <w:rsid w:val="00323694"/>
    <w:rsid w:val="00323F43"/>
    <w:rsid w:val="0032400F"/>
    <w:rsid w:val="003242C5"/>
    <w:rsid w:val="00324493"/>
    <w:rsid w:val="00324730"/>
    <w:rsid w:val="0032481C"/>
    <w:rsid w:val="0032492E"/>
    <w:rsid w:val="00325359"/>
    <w:rsid w:val="00325C27"/>
    <w:rsid w:val="00326A29"/>
    <w:rsid w:val="00326F04"/>
    <w:rsid w:val="00327338"/>
    <w:rsid w:val="00327D05"/>
    <w:rsid w:val="0033009F"/>
    <w:rsid w:val="0033053D"/>
    <w:rsid w:val="00330726"/>
    <w:rsid w:val="00330B7A"/>
    <w:rsid w:val="00330F35"/>
    <w:rsid w:val="00330F6C"/>
    <w:rsid w:val="003311DD"/>
    <w:rsid w:val="00331496"/>
    <w:rsid w:val="00331D01"/>
    <w:rsid w:val="00331EF2"/>
    <w:rsid w:val="00332506"/>
    <w:rsid w:val="0033286E"/>
    <w:rsid w:val="003329FC"/>
    <w:rsid w:val="00332B50"/>
    <w:rsid w:val="00332CBF"/>
    <w:rsid w:val="00333158"/>
    <w:rsid w:val="003334E1"/>
    <w:rsid w:val="0033351F"/>
    <w:rsid w:val="003338CD"/>
    <w:rsid w:val="00333970"/>
    <w:rsid w:val="00333F3B"/>
    <w:rsid w:val="00333F9E"/>
    <w:rsid w:val="0033413A"/>
    <w:rsid w:val="003344F2"/>
    <w:rsid w:val="0033461D"/>
    <w:rsid w:val="003350A5"/>
    <w:rsid w:val="003352C9"/>
    <w:rsid w:val="0033541B"/>
    <w:rsid w:val="0033551C"/>
    <w:rsid w:val="00335700"/>
    <w:rsid w:val="00335791"/>
    <w:rsid w:val="00335A97"/>
    <w:rsid w:val="00335E73"/>
    <w:rsid w:val="00335F2D"/>
    <w:rsid w:val="00336143"/>
    <w:rsid w:val="003361E2"/>
    <w:rsid w:val="00336316"/>
    <w:rsid w:val="00336416"/>
    <w:rsid w:val="0033665B"/>
    <w:rsid w:val="00336689"/>
    <w:rsid w:val="00336B61"/>
    <w:rsid w:val="003375D1"/>
    <w:rsid w:val="00337A57"/>
    <w:rsid w:val="00337DBB"/>
    <w:rsid w:val="0034003F"/>
    <w:rsid w:val="00340257"/>
    <w:rsid w:val="00340325"/>
    <w:rsid w:val="00340862"/>
    <w:rsid w:val="003409BB"/>
    <w:rsid w:val="003409D4"/>
    <w:rsid w:val="00340AA5"/>
    <w:rsid w:val="00340B13"/>
    <w:rsid w:val="00340C27"/>
    <w:rsid w:val="00341015"/>
    <w:rsid w:val="00341474"/>
    <w:rsid w:val="0034181E"/>
    <w:rsid w:val="00341B27"/>
    <w:rsid w:val="00341FCA"/>
    <w:rsid w:val="00342686"/>
    <w:rsid w:val="00342B7F"/>
    <w:rsid w:val="00342DC6"/>
    <w:rsid w:val="00342E3C"/>
    <w:rsid w:val="00343705"/>
    <w:rsid w:val="00343C9D"/>
    <w:rsid w:val="00343FE7"/>
    <w:rsid w:val="00344169"/>
    <w:rsid w:val="003442CF"/>
    <w:rsid w:val="00344ECB"/>
    <w:rsid w:val="003453E3"/>
    <w:rsid w:val="0034545E"/>
    <w:rsid w:val="00345491"/>
    <w:rsid w:val="00345657"/>
    <w:rsid w:val="003456AC"/>
    <w:rsid w:val="003456FB"/>
    <w:rsid w:val="003457C4"/>
    <w:rsid w:val="00345CA5"/>
    <w:rsid w:val="0034611F"/>
    <w:rsid w:val="003463F6"/>
    <w:rsid w:val="003467B3"/>
    <w:rsid w:val="003468D1"/>
    <w:rsid w:val="00346A47"/>
    <w:rsid w:val="00346B7E"/>
    <w:rsid w:val="00347346"/>
    <w:rsid w:val="003474FC"/>
    <w:rsid w:val="00347710"/>
    <w:rsid w:val="00347D56"/>
    <w:rsid w:val="00350598"/>
    <w:rsid w:val="00350785"/>
    <w:rsid w:val="003507B5"/>
    <w:rsid w:val="0035081B"/>
    <w:rsid w:val="00350ACA"/>
    <w:rsid w:val="00350D60"/>
    <w:rsid w:val="00351238"/>
    <w:rsid w:val="003516F3"/>
    <w:rsid w:val="0035197A"/>
    <w:rsid w:val="00351991"/>
    <w:rsid w:val="00351BDB"/>
    <w:rsid w:val="00351F6D"/>
    <w:rsid w:val="003520AD"/>
    <w:rsid w:val="003527F3"/>
    <w:rsid w:val="00352B6A"/>
    <w:rsid w:val="00352B7E"/>
    <w:rsid w:val="00352E35"/>
    <w:rsid w:val="00352FAC"/>
    <w:rsid w:val="00353269"/>
    <w:rsid w:val="003532CE"/>
    <w:rsid w:val="00353593"/>
    <w:rsid w:val="003535A7"/>
    <w:rsid w:val="0035370F"/>
    <w:rsid w:val="00353BC9"/>
    <w:rsid w:val="00353CA5"/>
    <w:rsid w:val="00353F89"/>
    <w:rsid w:val="00354034"/>
    <w:rsid w:val="00354525"/>
    <w:rsid w:val="0035462B"/>
    <w:rsid w:val="003546BC"/>
    <w:rsid w:val="0035476E"/>
    <w:rsid w:val="00354FAB"/>
    <w:rsid w:val="00355304"/>
    <w:rsid w:val="003555C6"/>
    <w:rsid w:val="00355636"/>
    <w:rsid w:val="00355643"/>
    <w:rsid w:val="00355965"/>
    <w:rsid w:val="00355C26"/>
    <w:rsid w:val="00355CAE"/>
    <w:rsid w:val="0035602A"/>
    <w:rsid w:val="003563AE"/>
    <w:rsid w:val="003563F0"/>
    <w:rsid w:val="0035645F"/>
    <w:rsid w:val="00356472"/>
    <w:rsid w:val="0035677A"/>
    <w:rsid w:val="003568F9"/>
    <w:rsid w:val="00356AF0"/>
    <w:rsid w:val="00356B95"/>
    <w:rsid w:val="00356EF8"/>
    <w:rsid w:val="00356F49"/>
    <w:rsid w:val="00357210"/>
    <w:rsid w:val="00357293"/>
    <w:rsid w:val="0035764C"/>
    <w:rsid w:val="00357D72"/>
    <w:rsid w:val="00360289"/>
    <w:rsid w:val="00360663"/>
    <w:rsid w:val="00360B1E"/>
    <w:rsid w:val="0036118F"/>
    <w:rsid w:val="003613A7"/>
    <w:rsid w:val="00361E3B"/>
    <w:rsid w:val="00361F1E"/>
    <w:rsid w:val="00361FDB"/>
    <w:rsid w:val="0036200A"/>
    <w:rsid w:val="0036277A"/>
    <w:rsid w:val="003627A3"/>
    <w:rsid w:val="00362889"/>
    <w:rsid w:val="00362C7F"/>
    <w:rsid w:val="00362DA1"/>
    <w:rsid w:val="003631A4"/>
    <w:rsid w:val="00363721"/>
    <w:rsid w:val="0036391D"/>
    <w:rsid w:val="0036428E"/>
    <w:rsid w:val="00364498"/>
    <w:rsid w:val="003644A4"/>
    <w:rsid w:val="00364685"/>
    <w:rsid w:val="00364AAC"/>
    <w:rsid w:val="00364C5E"/>
    <w:rsid w:val="00364E21"/>
    <w:rsid w:val="00365448"/>
    <w:rsid w:val="0036584F"/>
    <w:rsid w:val="00365998"/>
    <w:rsid w:val="00365A45"/>
    <w:rsid w:val="00365C79"/>
    <w:rsid w:val="00366176"/>
    <w:rsid w:val="00366AC3"/>
    <w:rsid w:val="00366C28"/>
    <w:rsid w:val="003671C7"/>
    <w:rsid w:val="00367573"/>
    <w:rsid w:val="003703A5"/>
    <w:rsid w:val="003704B3"/>
    <w:rsid w:val="003704B7"/>
    <w:rsid w:val="003705B5"/>
    <w:rsid w:val="00370B8A"/>
    <w:rsid w:val="00370FA5"/>
    <w:rsid w:val="00371457"/>
    <w:rsid w:val="003716C1"/>
    <w:rsid w:val="00371733"/>
    <w:rsid w:val="003717E8"/>
    <w:rsid w:val="0037188C"/>
    <w:rsid w:val="0037191C"/>
    <w:rsid w:val="00371C82"/>
    <w:rsid w:val="00371EC2"/>
    <w:rsid w:val="0037203C"/>
    <w:rsid w:val="00372594"/>
    <w:rsid w:val="00372FE2"/>
    <w:rsid w:val="003731C6"/>
    <w:rsid w:val="0037371E"/>
    <w:rsid w:val="003737A2"/>
    <w:rsid w:val="00374275"/>
    <w:rsid w:val="00374644"/>
    <w:rsid w:val="00374AA0"/>
    <w:rsid w:val="00374B42"/>
    <w:rsid w:val="00374E51"/>
    <w:rsid w:val="00374E9B"/>
    <w:rsid w:val="00374F44"/>
    <w:rsid w:val="003751EF"/>
    <w:rsid w:val="003755A0"/>
    <w:rsid w:val="003755EB"/>
    <w:rsid w:val="003759C0"/>
    <w:rsid w:val="00375B69"/>
    <w:rsid w:val="00375C14"/>
    <w:rsid w:val="00375C50"/>
    <w:rsid w:val="00375FE0"/>
    <w:rsid w:val="00376169"/>
    <w:rsid w:val="003767C2"/>
    <w:rsid w:val="0037684D"/>
    <w:rsid w:val="0037685B"/>
    <w:rsid w:val="0037691A"/>
    <w:rsid w:val="003776E7"/>
    <w:rsid w:val="003776F9"/>
    <w:rsid w:val="003777A3"/>
    <w:rsid w:val="003779E0"/>
    <w:rsid w:val="00377AA7"/>
    <w:rsid w:val="00377FE7"/>
    <w:rsid w:val="00380517"/>
    <w:rsid w:val="003806F2"/>
    <w:rsid w:val="00380A6A"/>
    <w:rsid w:val="00380CAB"/>
    <w:rsid w:val="00380F93"/>
    <w:rsid w:val="00381229"/>
    <w:rsid w:val="003812E2"/>
    <w:rsid w:val="0038141D"/>
    <w:rsid w:val="003814F9"/>
    <w:rsid w:val="00381B1A"/>
    <w:rsid w:val="003820F1"/>
    <w:rsid w:val="003824E7"/>
    <w:rsid w:val="00382601"/>
    <w:rsid w:val="00382879"/>
    <w:rsid w:val="00382977"/>
    <w:rsid w:val="00382AD5"/>
    <w:rsid w:val="00382D78"/>
    <w:rsid w:val="0038348F"/>
    <w:rsid w:val="00383692"/>
    <w:rsid w:val="003837D2"/>
    <w:rsid w:val="00383967"/>
    <w:rsid w:val="0038445A"/>
    <w:rsid w:val="003845F4"/>
    <w:rsid w:val="00384B57"/>
    <w:rsid w:val="00384CEB"/>
    <w:rsid w:val="00384D8C"/>
    <w:rsid w:val="00384EFC"/>
    <w:rsid w:val="00384FF4"/>
    <w:rsid w:val="00385138"/>
    <w:rsid w:val="003851E8"/>
    <w:rsid w:val="003851ED"/>
    <w:rsid w:val="00385295"/>
    <w:rsid w:val="00385498"/>
    <w:rsid w:val="0038572F"/>
    <w:rsid w:val="00385EE0"/>
    <w:rsid w:val="0038620C"/>
    <w:rsid w:val="0038681A"/>
    <w:rsid w:val="0038696B"/>
    <w:rsid w:val="00386A30"/>
    <w:rsid w:val="00386ABB"/>
    <w:rsid w:val="00386DAF"/>
    <w:rsid w:val="00387240"/>
    <w:rsid w:val="003872AC"/>
    <w:rsid w:val="003873CB"/>
    <w:rsid w:val="00387460"/>
    <w:rsid w:val="00387669"/>
    <w:rsid w:val="00387820"/>
    <w:rsid w:val="003901CD"/>
    <w:rsid w:val="0039031F"/>
    <w:rsid w:val="00390ADF"/>
    <w:rsid w:val="00390C96"/>
    <w:rsid w:val="00391A62"/>
    <w:rsid w:val="00391A9A"/>
    <w:rsid w:val="00391B1C"/>
    <w:rsid w:val="00391FA2"/>
    <w:rsid w:val="00392167"/>
    <w:rsid w:val="00392310"/>
    <w:rsid w:val="003926AC"/>
    <w:rsid w:val="003927BB"/>
    <w:rsid w:val="00392912"/>
    <w:rsid w:val="00392B35"/>
    <w:rsid w:val="003932C8"/>
    <w:rsid w:val="003932F9"/>
    <w:rsid w:val="003935BC"/>
    <w:rsid w:val="0039467B"/>
    <w:rsid w:val="00394978"/>
    <w:rsid w:val="00394A47"/>
    <w:rsid w:val="00394BA7"/>
    <w:rsid w:val="00395276"/>
    <w:rsid w:val="003952A7"/>
    <w:rsid w:val="00395429"/>
    <w:rsid w:val="0039548C"/>
    <w:rsid w:val="00395627"/>
    <w:rsid w:val="00395BD8"/>
    <w:rsid w:val="0039658D"/>
    <w:rsid w:val="003965A5"/>
    <w:rsid w:val="00396A8F"/>
    <w:rsid w:val="00396EC5"/>
    <w:rsid w:val="00397135"/>
    <w:rsid w:val="003975E5"/>
    <w:rsid w:val="003976B7"/>
    <w:rsid w:val="003978D3"/>
    <w:rsid w:val="00397C02"/>
    <w:rsid w:val="00397FE9"/>
    <w:rsid w:val="003A022F"/>
    <w:rsid w:val="003A0C87"/>
    <w:rsid w:val="003A15BE"/>
    <w:rsid w:val="003A1E92"/>
    <w:rsid w:val="003A245A"/>
    <w:rsid w:val="003A25AC"/>
    <w:rsid w:val="003A29FD"/>
    <w:rsid w:val="003A3366"/>
    <w:rsid w:val="003A3629"/>
    <w:rsid w:val="003A3843"/>
    <w:rsid w:val="003A39F9"/>
    <w:rsid w:val="003A3E60"/>
    <w:rsid w:val="003A4420"/>
    <w:rsid w:val="003A48F5"/>
    <w:rsid w:val="003A4B18"/>
    <w:rsid w:val="003A4E3B"/>
    <w:rsid w:val="003A5968"/>
    <w:rsid w:val="003A5A5B"/>
    <w:rsid w:val="003A62E9"/>
    <w:rsid w:val="003A631B"/>
    <w:rsid w:val="003A6A7B"/>
    <w:rsid w:val="003A6B8D"/>
    <w:rsid w:val="003A717C"/>
    <w:rsid w:val="003A72CA"/>
    <w:rsid w:val="003A73CA"/>
    <w:rsid w:val="003A75D2"/>
    <w:rsid w:val="003A76D0"/>
    <w:rsid w:val="003A7835"/>
    <w:rsid w:val="003A7A08"/>
    <w:rsid w:val="003A7B92"/>
    <w:rsid w:val="003A7E63"/>
    <w:rsid w:val="003B0075"/>
    <w:rsid w:val="003B060E"/>
    <w:rsid w:val="003B08AB"/>
    <w:rsid w:val="003B0CA1"/>
    <w:rsid w:val="003B0F10"/>
    <w:rsid w:val="003B0FA9"/>
    <w:rsid w:val="003B1532"/>
    <w:rsid w:val="003B157B"/>
    <w:rsid w:val="003B19FA"/>
    <w:rsid w:val="003B2119"/>
    <w:rsid w:val="003B2306"/>
    <w:rsid w:val="003B2BF6"/>
    <w:rsid w:val="003B2C2E"/>
    <w:rsid w:val="003B2D74"/>
    <w:rsid w:val="003B2F88"/>
    <w:rsid w:val="003B332A"/>
    <w:rsid w:val="003B3397"/>
    <w:rsid w:val="003B34A5"/>
    <w:rsid w:val="003B3583"/>
    <w:rsid w:val="003B3861"/>
    <w:rsid w:val="003B4103"/>
    <w:rsid w:val="003B416B"/>
    <w:rsid w:val="003B4232"/>
    <w:rsid w:val="003B42BD"/>
    <w:rsid w:val="003B4F39"/>
    <w:rsid w:val="003B538A"/>
    <w:rsid w:val="003B5570"/>
    <w:rsid w:val="003B561F"/>
    <w:rsid w:val="003B563D"/>
    <w:rsid w:val="003B5993"/>
    <w:rsid w:val="003B5C54"/>
    <w:rsid w:val="003B6124"/>
    <w:rsid w:val="003B643C"/>
    <w:rsid w:val="003B6B38"/>
    <w:rsid w:val="003B6C38"/>
    <w:rsid w:val="003B74A3"/>
    <w:rsid w:val="003B75A3"/>
    <w:rsid w:val="003B76B4"/>
    <w:rsid w:val="003B7812"/>
    <w:rsid w:val="003B785D"/>
    <w:rsid w:val="003B7E1D"/>
    <w:rsid w:val="003C03FF"/>
    <w:rsid w:val="003C0629"/>
    <w:rsid w:val="003C1320"/>
    <w:rsid w:val="003C1AD0"/>
    <w:rsid w:val="003C1CD8"/>
    <w:rsid w:val="003C24BF"/>
    <w:rsid w:val="003C2756"/>
    <w:rsid w:val="003C2794"/>
    <w:rsid w:val="003C2C1D"/>
    <w:rsid w:val="003C2D41"/>
    <w:rsid w:val="003C2FD8"/>
    <w:rsid w:val="003C3107"/>
    <w:rsid w:val="003C3524"/>
    <w:rsid w:val="003C3D35"/>
    <w:rsid w:val="003C4215"/>
    <w:rsid w:val="003C4251"/>
    <w:rsid w:val="003C498B"/>
    <w:rsid w:val="003C55F8"/>
    <w:rsid w:val="003C5901"/>
    <w:rsid w:val="003C6373"/>
    <w:rsid w:val="003C704E"/>
    <w:rsid w:val="003C7683"/>
    <w:rsid w:val="003C77ED"/>
    <w:rsid w:val="003C7974"/>
    <w:rsid w:val="003D0024"/>
    <w:rsid w:val="003D00DB"/>
    <w:rsid w:val="003D0790"/>
    <w:rsid w:val="003D07AC"/>
    <w:rsid w:val="003D07E2"/>
    <w:rsid w:val="003D0996"/>
    <w:rsid w:val="003D0A4A"/>
    <w:rsid w:val="003D1155"/>
    <w:rsid w:val="003D1173"/>
    <w:rsid w:val="003D1287"/>
    <w:rsid w:val="003D13D3"/>
    <w:rsid w:val="003D1786"/>
    <w:rsid w:val="003D1CA5"/>
    <w:rsid w:val="003D20B2"/>
    <w:rsid w:val="003D23E2"/>
    <w:rsid w:val="003D294F"/>
    <w:rsid w:val="003D2FA0"/>
    <w:rsid w:val="003D2FC1"/>
    <w:rsid w:val="003D318B"/>
    <w:rsid w:val="003D32EA"/>
    <w:rsid w:val="003D33BC"/>
    <w:rsid w:val="003D3473"/>
    <w:rsid w:val="003D375A"/>
    <w:rsid w:val="003D3E95"/>
    <w:rsid w:val="003D3EE3"/>
    <w:rsid w:val="003D3F4D"/>
    <w:rsid w:val="003D416E"/>
    <w:rsid w:val="003D4236"/>
    <w:rsid w:val="003D4C0C"/>
    <w:rsid w:val="003D4CA8"/>
    <w:rsid w:val="003D4D36"/>
    <w:rsid w:val="003D4ED4"/>
    <w:rsid w:val="003D4F6A"/>
    <w:rsid w:val="003D4FB9"/>
    <w:rsid w:val="003D504A"/>
    <w:rsid w:val="003D5093"/>
    <w:rsid w:val="003D51FA"/>
    <w:rsid w:val="003D5596"/>
    <w:rsid w:val="003D5A0C"/>
    <w:rsid w:val="003D5CFE"/>
    <w:rsid w:val="003D5DB0"/>
    <w:rsid w:val="003D60C4"/>
    <w:rsid w:val="003D6210"/>
    <w:rsid w:val="003D6293"/>
    <w:rsid w:val="003D6332"/>
    <w:rsid w:val="003D6428"/>
    <w:rsid w:val="003D6532"/>
    <w:rsid w:val="003D653B"/>
    <w:rsid w:val="003D6AFF"/>
    <w:rsid w:val="003D6B9B"/>
    <w:rsid w:val="003D7326"/>
    <w:rsid w:val="003D73F3"/>
    <w:rsid w:val="003D787B"/>
    <w:rsid w:val="003D7B0B"/>
    <w:rsid w:val="003E0831"/>
    <w:rsid w:val="003E08EA"/>
    <w:rsid w:val="003E0DAA"/>
    <w:rsid w:val="003E112C"/>
    <w:rsid w:val="003E11E5"/>
    <w:rsid w:val="003E1A49"/>
    <w:rsid w:val="003E1C75"/>
    <w:rsid w:val="003E1CCD"/>
    <w:rsid w:val="003E1D9C"/>
    <w:rsid w:val="003E1EC7"/>
    <w:rsid w:val="003E1F21"/>
    <w:rsid w:val="003E2033"/>
    <w:rsid w:val="003E2157"/>
    <w:rsid w:val="003E2216"/>
    <w:rsid w:val="003E23AC"/>
    <w:rsid w:val="003E23CB"/>
    <w:rsid w:val="003E2C1D"/>
    <w:rsid w:val="003E2CD6"/>
    <w:rsid w:val="003E3052"/>
    <w:rsid w:val="003E3BB5"/>
    <w:rsid w:val="003E4038"/>
    <w:rsid w:val="003E4164"/>
    <w:rsid w:val="003E416A"/>
    <w:rsid w:val="003E42E8"/>
    <w:rsid w:val="003E4C52"/>
    <w:rsid w:val="003E4CB4"/>
    <w:rsid w:val="003E4E77"/>
    <w:rsid w:val="003E4F64"/>
    <w:rsid w:val="003E502E"/>
    <w:rsid w:val="003E5209"/>
    <w:rsid w:val="003E5376"/>
    <w:rsid w:val="003E5BC7"/>
    <w:rsid w:val="003E5D5A"/>
    <w:rsid w:val="003E5D7B"/>
    <w:rsid w:val="003E6099"/>
    <w:rsid w:val="003E60B6"/>
    <w:rsid w:val="003E642C"/>
    <w:rsid w:val="003E65D1"/>
    <w:rsid w:val="003E6622"/>
    <w:rsid w:val="003E6643"/>
    <w:rsid w:val="003E66C6"/>
    <w:rsid w:val="003E6AE3"/>
    <w:rsid w:val="003E749C"/>
    <w:rsid w:val="003E751D"/>
    <w:rsid w:val="003E758D"/>
    <w:rsid w:val="003F0007"/>
    <w:rsid w:val="003F03C9"/>
    <w:rsid w:val="003F09D3"/>
    <w:rsid w:val="003F0B79"/>
    <w:rsid w:val="003F12A1"/>
    <w:rsid w:val="003F1415"/>
    <w:rsid w:val="003F148A"/>
    <w:rsid w:val="003F1D39"/>
    <w:rsid w:val="003F1DFD"/>
    <w:rsid w:val="003F2577"/>
    <w:rsid w:val="003F26A9"/>
    <w:rsid w:val="003F28DF"/>
    <w:rsid w:val="003F2C84"/>
    <w:rsid w:val="003F2E71"/>
    <w:rsid w:val="003F3391"/>
    <w:rsid w:val="003F3CD7"/>
    <w:rsid w:val="003F3E63"/>
    <w:rsid w:val="003F40F3"/>
    <w:rsid w:val="003F426F"/>
    <w:rsid w:val="003F4357"/>
    <w:rsid w:val="003F44FC"/>
    <w:rsid w:val="003F4891"/>
    <w:rsid w:val="003F4A0B"/>
    <w:rsid w:val="003F4DF3"/>
    <w:rsid w:val="003F4F61"/>
    <w:rsid w:val="003F5325"/>
    <w:rsid w:val="003F5850"/>
    <w:rsid w:val="003F5A42"/>
    <w:rsid w:val="003F5B48"/>
    <w:rsid w:val="003F5E93"/>
    <w:rsid w:val="003F6434"/>
    <w:rsid w:val="003F6F7F"/>
    <w:rsid w:val="003F76CF"/>
    <w:rsid w:val="003F7AD5"/>
    <w:rsid w:val="003F7E1B"/>
    <w:rsid w:val="003F7FF0"/>
    <w:rsid w:val="003F7FF9"/>
    <w:rsid w:val="00400430"/>
    <w:rsid w:val="0040062E"/>
    <w:rsid w:val="00400FCE"/>
    <w:rsid w:val="00400FCF"/>
    <w:rsid w:val="00401218"/>
    <w:rsid w:val="004012AC"/>
    <w:rsid w:val="00401D06"/>
    <w:rsid w:val="004021AD"/>
    <w:rsid w:val="0040252E"/>
    <w:rsid w:val="00402899"/>
    <w:rsid w:val="004028CC"/>
    <w:rsid w:val="00402D62"/>
    <w:rsid w:val="00402E89"/>
    <w:rsid w:val="00402E9F"/>
    <w:rsid w:val="004030D9"/>
    <w:rsid w:val="0040337A"/>
    <w:rsid w:val="00403445"/>
    <w:rsid w:val="004037BB"/>
    <w:rsid w:val="00403992"/>
    <w:rsid w:val="00403BC4"/>
    <w:rsid w:val="00403CA1"/>
    <w:rsid w:val="00403CE7"/>
    <w:rsid w:val="00403DFD"/>
    <w:rsid w:val="00404409"/>
    <w:rsid w:val="00404707"/>
    <w:rsid w:val="00404819"/>
    <w:rsid w:val="00404939"/>
    <w:rsid w:val="00404B15"/>
    <w:rsid w:val="00404EE0"/>
    <w:rsid w:val="00405097"/>
    <w:rsid w:val="0040521B"/>
    <w:rsid w:val="00405475"/>
    <w:rsid w:val="004056C8"/>
    <w:rsid w:val="0040589B"/>
    <w:rsid w:val="00405DC3"/>
    <w:rsid w:val="00406179"/>
    <w:rsid w:val="0040622C"/>
    <w:rsid w:val="00406571"/>
    <w:rsid w:val="00406629"/>
    <w:rsid w:val="00406838"/>
    <w:rsid w:val="00406A2F"/>
    <w:rsid w:val="00406D9B"/>
    <w:rsid w:val="00406E43"/>
    <w:rsid w:val="004070A1"/>
    <w:rsid w:val="0040714C"/>
    <w:rsid w:val="00407239"/>
    <w:rsid w:val="0040723D"/>
    <w:rsid w:val="0040724C"/>
    <w:rsid w:val="00407436"/>
    <w:rsid w:val="00407836"/>
    <w:rsid w:val="004079E1"/>
    <w:rsid w:val="00407C00"/>
    <w:rsid w:val="00407E1F"/>
    <w:rsid w:val="004101FD"/>
    <w:rsid w:val="00410399"/>
    <w:rsid w:val="004103B4"/>
    <w:rsid w:val="00410749"/>
    <w:rsid w:val="0041128D"/>
    <w:rsid w:val="004112FB"/>
    <w:rsid w:val="004114FE"/>
    <w:rsid w:val="004115AB"/>
    <w:rsid w:val="0041189D"/>
    <w:rsid w:val="0041194D"/>
    <w:rsid w:val="004121F9"/>
    <w:rsid w:val="004122B0"/>
    <w:rsid w:val="00412328"/>
    <w:rsid w:val="004123E2"/>
    <w:rsid w:val="004126D0"/>
    <w:rsid w:val="00412961"/>
    <w:rsid w:val="00412B81"/>
    <w:rsid w:val="00412EB3"/>
    <w:rsid w:val="00412F26"/>
    <w:rsid w:val="004132F2"/>
    <w:rsid w:val="00413525"/>
    <w:rsid w:val="004138EC"/>
    <w:rsid w:val="00413BD9"/>
    <w:rsid w:val="00413FFB"/>
    <w:rsid w:val="004140E5"/>
    <w:rsid w:val="00414289"/>
    <w:rsid w:val="004145F4"/>
    <w:rsid w:val="004147AC"/>
    <w:rsid w:val="00414825"/>
    <w:rsid w:val="00414D87"/>
    <w:rsid w:val="004154E4"/>
    <w:rsid w:val="00415709"/>
    <w:rsid w:val="00415E2E"/>
    <w:rsid w:val="00415F35"/>
    <w:rsid w:val="00415FFF"/>
    <w:rsid w:val="00416048"/>
    <w:rsid w:val="00416123"/>
    <w:rsid w:val="00416560"/>
    <w:rsid w:val="00416DDD"/>
    <w:rsid w:val="0041731E"/>
    <w:rsid w:val="004174D1"/>
    <w:rsid w:val="004178DA"/>
    <w:rsid w:val="004179E9"/>
    <w:rsid w:val="00417A0C"/>
    <w:rsid w:val="00417AE4"/>
    <w:rsid w:val="00417BD7"/>
    <w:rsid w:val="00417E2E"/>
    <w:rsid w:val="00417E5E"/>
    <w:rsid w:val="00417F21"/>
    <w:rsid w:val="00420203"/>
    <w:rsid w:val="004202E2"/>
    <w:rsid w:val="00420657"/>
    <w:rsid w:val="00420714"/>
    <w:rsid w:val="0042078C"/>
    <w:rsid w:val="0042095B"/>
    <w:rsid w:val="00420E42"/>
    <w:rsid w:val="00420EFF"/>
    <w:rsid w:val="00421111"/>
    <w:rsid w:val="00421BA5"/>
    <w:rsid w:val="00421CE6"/>
    <w:rsid w:val="004226AF"/>
    <w:rsid w:val="0042322C"/>
    <w:rsid w:val="00423394"/>
    <w:rsid w:val="0042368C"/>
    <w:rsid w:val="004236ED"/>
    <w:rsid w:val="00423805"/>
    <w:rsid w:val="00423899"/>
    <w:rsid w:val="00423C5E"/>
    <w:rsid w:val="00423E1C"/>
    <w:rsid w:val="00423FC6"/>
    <w:rsid w:val="004242D3"/>
    <w:rsid w:val="00424784"/>
    <w:rsid w:val="0042498E"/>
    <w:rsid w:val="00424CB3"/>
    <w:rsid w:val="00424DF5"/>
    <w:rsid w:val="00425C70"/>
    <w:rsid w:val="00425CE1"/>
    <w:rsid w:val="004263C0"/>
    <w:rsid w:val="00426844"/>
    <w:rsid w:val="00426960"/>
    <w:rsid w:val="00426C30"/>
    <w:rsid w:val="00426E46"/>
    <w:rsid w:val="00426E48"/>
    <w:rsid w:val="00426E9D"/>
    <w:rsid w:val="00426F9B"/>
    <w:rsid w:val="00427177"/>
    <w:rsid w:val="00427688"/>
    <w:rsid w:val="00427B9D"/>
    <w:rsid w:val="00427C06"/>
    <w:rsid w:val="00427DCF"/>
    <w:rsid w:val="00427FF6"/>
    <w:rsid w:val="004300A7"/>
    <w:rsid w:val="004300B3"/>
    <w:rsid w:val="00430224"/>
    <w:rsid w:val="0043043E"/>
    <w:rsid w:val="004304F2"/>
    <w:rsid w:val="00430565"/>
    <w:rsid w:val="0043061B"/>
    <w:rsid w:val="00430762"/>
    <w:rsid w:val="00431115"/>
    <w:rsid w:val="004314AC"/>
    <w:rsid w:val="00431BC1"/>
    <w:rsid w:val="00431DD1"/>
    <w:rsid w:val="00432961"/>
    <w:rsid w:val="0043308B"/>
    <w:rsid w:val="00433616"/>
    <w:rsid w:val="0043361A"/>
    <w:rsid w:val="004339B8"/>
    <w:rsid w:val="00433AE6"/>
    <w:rsid w:val="00433E7E"/>
    <w:rsid w:val="0043411C"/>
    <w:rsid w:val="0043485E"/>
    <w:rsid w:val="00434AA3"/>
    <w:rsid w:val="0043513C"/>
    <w:rsid w:val="00435481"/>
    <w:rsid w:val="00436328"/>
    <w:rsid w:val="004363FB"/>
    <w:rsid w:val="00436406"/>
    <w:rsid w:val="00436574"/>
    <w:rsid w:val="004365C4"/>
    <w:rsid w:val="00436941"/>
    <w:rsid w:val="00436C1D"/>
    <w:rsid w:val="00436D08"/>
    <w:rsid w:val="00437027"/>
    <w:rsid w:val="0043702D"/>
    <w:rsid w:val="0043730A"/>
    <w:rsid w:val="0043743A"/>
    <w:rsid w:val="0043782A"/>
    <w:rsid w:val="00437835"/>
    <w:rsid w:val="004378D4"/>
    <w:rsid w:val="004379E2"/>
    <w:rsid w:val="00437A96"/>
    <w:rsid w:val="00437CD9"/>
    <w:rsid w:val="00437EB9"/>
    <w:rsid w:val="004401FB"/>
    <w:rsid w:val="00440424"/>
    <w:rsid w:val="004404A3"/>
    <w:rsid w:val="0044062D"/>
    <w:rsid w:val="00440754"/>
    <w:rsid w:val="00440BB1"/>
    <w:rsid w:val="00440BCA"/>
    <w:rsid w:val="00441035"/>
    <w:rsid w:val="0044132E"/>
    <w:rsid w:val="004419C4"/>
    <w:rsid w:val="00441C91"/>
    <w:rsid w:val="00441CAA"/>
    <w:rsid w:val="00441D18"/>
    <w:rsid w:val="00441EFD"/>
    <w:rsid w:val="0044252B"/>
    <w:rsid w:val="004429B9"/>
    <w:rsid w:val="00442F99"/>
    <w:rsid w:val="00443995"/>
    <w:rsid w:val="00443AA8"/>
    <w:rsid w:val="00443AD0"/>
    <w:rsid w:val="004445A4"/>
    <w:rsid w:val="00444C0A"/>
    <w:rsid w:val="00444E01"/>
    <w:rsid w:val="00445066"/>
    <w:rsid w:val="0044567D"/>
    <w:rsid w:val="004457DB"/>
    <w:rsid w:val="00445876"/>
    <w:rsid w:val="004458F3"/>
    <w:rsid w:val="00445D56"/>
    <w:rsid w:val="00445E49"/>
    <w:rsid w:val="00445F7E"/>
    <w:rsid w:val="00446044"/>
    <w:rsid w:val="00446358"/>
    <w:rsid w:val="00446363"/>
    <w:rsid w:val="00446B7D"/>
    <w:rsid w:val="00446D2B"/>
    <w:rsid w:val="00446DB8"/>
    <w:rsid w:val="00446EFE"/>
    <w:rsid w:val="004473A6"/>
    <w:rsid w:val="004475F6"/>
    <w:rsid w:val="004479E3"/>
    <w:rsid w:val="00447A3D"/>
    <w:rsid w:val="00450244"/>
    <w:rsid w:val="00450629"/>
    <w:rsid w:val="004506D8"/>
    <w:rsid w:val="0045177C"/>
    <w:rsid w:val="0045200F"/>
    <w:rsid w:val="004520F2"/>
    <w:rsid w:val="004529EF"/>
    <w:rsid w:val="00452A2B"/>
    <w:rsid w:val="00452D87"/>
    <w:rsid w:val="00452FAD"/>
    <w:rsid w:val="004530B5"/>
    <w:rsid w:val="00453203"/>
    <w:rsid w:val="00453222"/>
    <w:rsid w:val="004533AD"/>
    <w:rsid w:val="0045392A"/>
    <w:rsid w:val="00453B2B"/>
    <w:rsid w:val="00453E18"/>
    <w:rsid w:val="00454F44"/>
    <w:rsid w:val="004550AC"/>
    <w:rsid w:val="004555EC"/>
    <w:rsid w:val="00455DA5"/>
    <w:rsid w:val="00455FC4"/>
    <w:rsid w:val="004560C0"/>
    <w:rsid w:val="00456405"/>
    <w:rsid w:val="00456412"/>
    <w:rsid w:val="0045689E"/>
    <w:rsid w:val="00456F0E"/>
    <w:rsid w:val="00457341"/>
    <w:rsid w:val="00457356"/>
    <w:rsid w:val="00457B18"/>
    <w:rsid w:val="00457B86"/>
    <w:rsid w:val="00457C90"/>
    <w:rsid w:val="00457E95"/>
    <w:rsid w:val="00460748"/>
    <w:rsid w:val="00460A70"/>
    <w:rsid w:val="00460EC1"/>
    <w:rsid w:val="0046137B"/>
    <w:rsid w:val="00461458"/>
    <w:rsid w:val="004614FB"/>
    <w:rsid w:val="00461917"/>
    <w:rsid w:val="00461AE2"/>
    <w:rsid w:val="00461BF3"/>
    <w:rsid w:val="00461FD5"/>
    <w:rsid w:val="004621F8"/>
    <w:rsid w:val="00462216"/>
    <w:rsid w:val="00462451"/>
    <w:rsid w:val="004625BA"/>
    <w:rsid w:val="00462792"/>
    <w:rsid w:val="004628B2"/>
    <w:rsid w:val="00463039"/>
    <w:rsid w:val="00463A11"/>
    <w:rsid w:val="00463B30"/>
    <w:rsid w:val="00463CAA"/>
    <w:rsid w:val="00463D84"/>
    <w:rsid w:val="00465AE2"/>
    <w:rsid w:val="00465DDB"/>
    <w:rsid w:val="0046636F"/>
    <w:rsid w:val="004663E2"/>
    <w:rsid w:val="0046653F"/>
    <w:rsid w:val="00466C0E"/>
    <w:rsid w:val="00467007"/>
    <w:rsid w:val="00467316"/>
    <w:rsid w:val="00467483"/>
    <w:rsid w:val="004675FA"/>
    <w:rsid w:val="00467D10"/>
    <w:rsid w:val="00467FB5"/>
    <w:rsid w:val="00470471"/>
    <w:rsid w:val="00470927"/>
    <w:rsid w:val="00470C6C"/>
    <w:rsid w:val="00470E38"/>
    <w:rsid w:val="0047108B"/>
    <w:rsid w:val="0047145C"/>
    <w:rsid w:val="0047150B"/>
    <w:rsid w:val="004717C2"/>
    <w:rsid w:val="00471BDF"/>
    <w:rsid w:val="00471F50"/>
    <w:rsid w:val="004721FA"/>
    <w:rsid w:val="0047239B"/>
    <w:rsid w:val="004724AD"/>
    <w:rsid w:val="0047261D"/>
    <w:rsid w:val="004726E8"/>
    <w:rsid w:val="004728BD"/>
    <w:rsid w:val="004728E5"/>
    <w:rsid w:val="00472A42"/>
    <w:rsid w:val="00472BD5"/>
    <w:rsid w:val="00472CE4"/>
    <w:rsid w:val="00472E66"/>
    <w:rsid w:val="00473358"/>
    <w:rsid w:val="004736E2"/>
    <w:rsid w:val="0047396F"/>
    <w:rsid w:val="004739FE"/>
    <w:rsid w:val="00473C68"/>
    <w:rsid w:val="004741C8"/>
    <w:rsid w:val="004747FF"/>
    <w:rsid w:val="00474B68"/>
    <w:rsid w:val="00474BBA"/>
    <w:rsid w:val="00474DD7"/>
    <w:rsid w:val="00474F07"/>
    <w:rsid w:val="00474FD3"/>
    <w:rsid w:val="004754BB"/>
    <w:rsid w:val="004759AF"/>
    <w:rsid w:val="00475BB0"/>
    <w:rsid w:val="00475D3B"/>
    <w:rsid w:val="00475E87"/>
    <w:rsid w:val="00475F5F"/>
    <w:rsid w:val="0047609E"/>
    <w:rsid w:val="00476590"/>
    <w:rsid w:val="00476D6F"/>
    <w:rsid w:val="00476FB2"/>
    <w:rsid w:val="0047707D"/>
    <w:rsid w:val="00477347"/>
    <w:rsid w:val="00477609"/>
    <w:rsid w:val="00477651"/>
    <w:rsid w:val="00477B0E"/>
    <w:rsid w:val="00477DBD"/>
    <w:rsid w:val="00477F0E"/>
    <w:rsid w:val="0048027C"/>
    <w:rsid w:val="0048033B"/>
    <w:rsid w:val="0048094C"/>
    <w:rsid w:val="00480A61"/>
    <w:rsid w:val="00480A8A"/>
    <w:rsid w:val="00480ADE"/>
    <w:rsid w:val="00480B6B"/>
    <w:rsid w:val="00480D1B"/>
    <w:rsid w:val="00480DCF"/>
    <w:rsid w:val="00480FA4"/>
    <w:rsid w:val="004817B3"/>
    <w:rsid w:val="004819B4"/>
    <w:rsid w:val="00481FF0"/>
    <w:rsid w:val="0048219B"/>
    <w:rsid w:val="0048234C"/>
    <w:rsid w:val="00482A47"/>
    <w:rsid w:val="00482BBE"/>
    <w:rsid w:val="00482D8D"/>
    <w:rsid w:val="00483112"/>
    <w:rsid w:val="00483144"/>
    <w:rsid w:val="00483A12"/>
    <w:rsid w:val="004841F5"/>
    <w:rsid w:val="00484363"/>
    <w:rsid w:val="00484577"/>
    <w:rsid w:val="00484578"/>
    <w:rsid w:val="004849C3"/>
    <w:rsid w:val="00484B36"/>
    <w:rsid w:val="00485D04"/>
    <w:rsid w:val="00485D49"/>
    <w:rsid w:val="00485F0D"/>
    <w:rsid w:val="00485FC7"/>
    <w:rsid w:val="004860BB"/>
    <w:rsid w:val="0048634A"/>
    <w:rsid w:val="00486364"/>
    <w:rsid w:val="00486841"/>
    <w:rsid w:val="004868E3"/>
    <w:rsid w:val="00487136"/>
    <w:rsid w:val="00487FF7"/>
    <w:rsid w:val="0049000C"/>
    <w:rsid w:val="0049001D"/>
    <w:rsid w:val="00490491"/>
    <w:rsid w:val="00490D8E"/>
    <w:rsid w:val="004912FD"/>
    <w:rsid w:val="004914F0"/>
    <w:rsid w:val="004917A2"/>
    <w:rsid w:val="0049192F"/>
    <w:rsid w:val="00491D95"/>
    <w:rsid w:val="00491E17"/>
    <w:rsid w:val="00491F69"/>
    <w:rsid w:val="00492024"/>
    <w:rsid w:val="004927F2"/>
    <w:rsid w:val="00492BD7"/>
    <w:rsid w:val="00492C1A"/>
    <w:rsid w:val="00492E0F"/>
    <w:rsid w:val="00492E41"/>
    <w:rsid w:val="004932E0"/>
    <w:rsid w:val="004936DA"/>
    <w:rsid w:val="00493CCE"/>
    <w:rsid w:val="00493F05"/>
    <w:rsid w:val="00494A42"/>
    <w:rsid w:val="00494B7D"/>
    <w:rsid w:val="004952F1"/>
    <w:rsid w:val="004959B6"/>
    <w:rsid w:val="00495FBD"/>
    <w:rsid w:val="00496010"/>
    <w:rsid w:val="00496175"/>
    <w:rsid w:val="004962A7"/>
    <w:rsid w:val="00496642"/>
    <w:rsid w:val="004966C9"/>
    <w:rsid w:val="00496754"/>
    <w:rsid w:val="00497478"/>
    <w:rsid w:val="004974BA"/>
    <w:rsid w:val="0049780B"/>
    <w:rsid w:val="00497980"/>
    <w:rsid w:val="00497BDD"/>
    <w:rsid w:val="00497CD9"/>
    <w:rsid w:val="004A0204"/>
    <w:rsid w:val="004A0244"/>
    <w:rsid w:val="004A0DD9"/>
    <w:rsid w:val="004A1126"/>
    <w:rsid w:val="004A1441"/>
    <w:rsid w:val="004A1671"/>
    <w:rsid w:val="004A16E0"/>
    <w:rsid w:val="004A18C6"/>
    <w:rsid w:val="004A1E86"/>
    <w:rsid w:val="004A1FD7"/>
    <w:rsid w:val="004A24A0"/>
    <w:rsid w:val="004A263E"/>
    <w:rsid w:val="004A299C"/>
    <w:rsid w:val="004A29D6"/>
    <w:rsid w:val="004A2CC9"/>
    <w:rsid w:val="004A2CD6"/>
    <w:rsid w:val="004A309E"/>
    <w:rsid w:val="004A350C"/>
    <w:rsid w:val="004A35A2"/>
    <w:rsid w:val="004A35D0"/>
    <w:rsid w:val="004A377B"/>
    <w:rsid w:val="004A37C8"/>
    <w:rsid w:val="004A3C7C"/>
    <w:rsid w:val="004A3E37"/>
    <w:rsid w:val="004A4901"/>
    <w:rsid w:val="004A4B9A"/>
    <w:rsid w:val="004A5485"/>
    <w:rsid w:val="004A57B9"/>
    <w:rsid w:val="004A5A33"/>
    <w:rsid w:val="004A5DE7"/>
    <w:rsid w:val="004A60ED"/>
    <w:rsid w:val="004A61C0"/>
    <w:rsid w:val="004A6423"/>
    <w:rsid w:val="004A6937"/>
    <w:rsid w:val="004A6F31"/>
    <w:rsid w:val="004A6F71"/>
    <w:rsid w:val="004A6FEE"/>
    <w:rsid w:val="004A73FB"/>
    <w:rsid w:val="004A7572"/>
    <w:rsid w:val="004A79A6"/>
    <w:rsid w:val="004A7A32"/>
    <w:rsid w:val="004A7A91"/>
    <w:rsid w:val="004A7B41"/>
    <w:rsid w:val="004A7B6C"/>
    <w:rsid w:val="004B024D"/>
    <w:rsid w:val="004B0580"/>
    <w:rsid w:val="004B08F8"/>
    <w:rsid w:val="004B0B67"/>
    <w:rsid w:val="004B0D13"/>
    <w:rsid w:val="004B107E"/>
    <w:rsid w:val="004B1167"/>
    <w:rsid w:val="004B135E"/>
    <w:rsid w:val="004B17EC"/>
    <w:rsid w:val="004B1C67"/>
    <w:rsid w:val="004B1CC7"/>
    <w:rsid w:val="004B1E87"/>
    <w:rsid w:val="004B315C"/>
    <w:rsid w:val="004B326E"/>
    <w:rsid w:val="004B345D"/>
    <w:rsid w:val="004B35DA"/>
    <w:rsid w:val="004B3947"/>
    <w:rsid w:val="004B3E78"/>
    <w:rsid w:val="004B3F00"/>
    <w:rsid w:val="004B3F47"/>
    <w:rsid w:val="004B405E"/>
    <w:rsid w:val="004B446A"/>
    <w:rsid w:val="004B4674"/>
    <w:rsid w:val="004B4B43"/>
    <w:rsid w:val="004B4E1F"/>
    <w:rsid w:val="004B4E55"/>
    <w:rsid w:val="004B50A8"/>
    <w:rsid w:val="004B51E1"/>
    <w:rsid w:val="004B5412"/>
    <w:rsid w:val="004B558C"/>
    <w:rsid w:val="004B5872"/>
    <w:rsid w:val="004B67B7"/>
    <w:rsid w:val="004B703B"/>
    <w:rsid w:val="004B706D"/>
    <w:rsid w:val="004B7092"/>
    <w:rsid w:val="004B70E3"/>
    <w:rsid w:val="004B7829"/>
    <w:rsid w:val="004B7930"/>
    <w:rsid w:val="004B797D"/>
    <w:rsid w:val="004B7EAA"/>
    <w:rsid w:val="004C00FA"/>
    <w:rsid w:val="004C023B"/>
    <w:rsid w:val="004C1179"/>
    <w:rsid w:val="004C11B0"/>
    <w:rsid w:val="004C1367"/>
    <w:rsid w:val="004C1438"/>
    <w:rsid w:val="004C1560"/>
    <w:rsid w:val="004C15FF"/>
    <w:rsid w:val="004C17A8"/>
    <w:rsid w:val="004C24A6"/>
    <w:rsid w:val="004C288E"/>
    <w:rsid w:val="004C2EFC"/>
    <w:rsid w:val="004C3C31"/>
    <w:rsid w:val="004C3E2B"/>
    <w:rsid w:val="004C41A7"/>
    <w:rsid w:val="004C5306"/>
    <w:rsid w:val="004C549F"/>
    <w:rsid w:val="004C5819"/>
    <w:rsid w:val="004C594F"/>
    <w:rsid w:val="004C5B07"/>
    <w:rsid w:val="004C5E37"/>
    <w:rsid w:val="004C62C5"/>
    <w:rsid w:val="004C62C9"/>
    <w:rsid w:val="004C64A8"/>
    <w:rsid w:val="004C6756"/>
    <w:rsid w:val="004C7049"/>
    <w:rsid w:val="004C71AA"/>
    <w:rsid w:val="004C7287"/>
    <w:rsid w:val="004C79BA"/>
    <w:rsid w:val="004C7A58"/>
    <w:rsid w:val="004C7F04"/>
    <w:rsid w:val="004D03B0"/>
    <w:rsid w:val="004D0AC1"/>
    <w:rsid w:val="004D0D60"/>
    <w:rsid w:val="004D124C"/>
    <w:rsid w:val="004D12AB"/>
    <w:rsid w:val="004D1696"/>
    <w:rsid w:val="004D1B95"/>
    <w:rsid w:val="004D1BB6"/>
    <w:rsid w:val="004D1BDF"/>
    <w:rsid w:val="004D2784"/>
    <w:rsid w:val="004D27EF"/>
    <w:rsid w:val="004D2C60"/>
    <w:rsid w:val="004D2EA5"/>
    <w:rsid w:val="004D3073"/>
    <w:rsid w:val="004D37B7"/>
    <w:rsid w:val="004D3987"/>
    <w:rsid w:val="004D39E2"/>
    <w:rsid w:val="004D417B"/>
    <w:rsid w:val="004D41D2"/>
    <w:rsid w:val="004D41F9"/>
    <w:rsid w:val="004D4465"/>
    <w:rsid w:val="004D45B1"/>
    <w:rsid w:val="004D4838"/>
    <w:rsid w:val="004D4A9D"/>
    <w:rsid w:val="004D4F2C"/>
    <w:rsid w:val="004D4FAE"/>
    <w:rsid w:val="004D4FF5"/>
    <w:rsid w:val="004D5445"/>
    <w:rsid w:val="004D5997"/>
    <w:rsid w:val="004D5A42"/>
    <w:rsid w:val="004D5DBD"/>
    <w:rsid w:val="004D5FE2"/>
    <w:rsid w:val="004D63C5"/>
    <w:rsid w:val="004D6587"/>
    <w:rsid w:val="004D6622"/>
    <w:rsid w:val="004D6785"/>
    <w:rsid w:val="004D6EBD"/>
    <w:rsid w:val="004D7125"/>
    <w:rsid w:val="004D797C"/>
    <w:rsid w:val="004D7B3D"/>
    <w:rsid w:val="004D7D7D"/>
    <w:rsid w:val="004E0256"/>
    <w:rsid w:val="004E08AD"/>
    <w:rsid w:val="004E09E9"/>
    <w:rsid w:val="004E0BA1"/>
    <w:rsid w:val="004E1248"/>
    <w:rsid w:val="004E1678"/>
    <w:rsid w:val="004E20E2"/>
    <w:rsid w:val="004E27AB"/>
    <w:rsid w:val="004E2D19"/>
    <w:rsid w:val="004E2D98"/>
    <w:rsid w:val="004E320B"/>
    <w:rsid w:val="004E329B"/>
    <w:rsid w:val="004E38CA"/>
    <w:rsid w:val="004E39F8"/>
    <w:rsid w:val="004E412D"/>
    <w:rsid w:val="004E4274"/>
    <w:rsid w:val="004E4480"/>
    <w:rsid w:val="004E4790"/>
    <w:rsid w:val="004E48C7"/>
    <w:rsid w:val="004E4BA9"/>
    <w:rsid w:val="004E4BD6"/>
    <w:rsid w:val="004E5033"/>
    <w:rsid w:val="004E55BB"/>
    <w:rsid w:val="004E566B"/>
    <w:rsid w:val="004E5708"/>
    <w:rsid w:val="004E5BA6"/>
    <w:rsid w:val="004E5D83"/>
    <w:rsid w:val="004E6720"/>
    <w:rsid w:val="004E682F"/>
    <w:rsid w:val="004E68D9"/>
    <w:rsid w:val="004E6BF1"/>
    <w:rsid w:val="004E6E32"/>
    <w:rsid w:val="004E73F4"/>
    <w:rsid w:val="004E798F"/>
    <w:rsid w:val="004E79D0"/>
    <w:rsid w:val="004F05C7"/>
    <w:rsid w:val="004F05D1"/>
    <w:rsid w:val="004F05D7"/>
    <w:rsid w:val="004F063B"/>
    <w:rsid w:val="004F0903"/>
    <w:rsid w:val="004F0A3E"/>
    <w:rsid w:val="004F0C1B"/>
    <w:rsid w:val="004F0E5A"/>
    <w:rsid w:val="004F1A60"/>
    <w:rsid w:val="004F1C0E"/>
    <w:rsid w:val="004F20A9"/>
    <w:rsid w:val="004F21DA"/>
    <w:rsid w:val="004F2350"/>
    <w:rsid w:val="004F2E1F"/>
    <w:rsid w:val="004F2E84"/>
    <w:rsid w:val="004F2F1A"/>
    <w:rsid w:val="004F303B"/>
    <w:rsid w:val="004F33EF"/>
    <w:rsid w:val="004F3872"/>
    <w:rsid w:val="004F3A52"/>
    <w:rsid w:val="004F3B22"/>
    <w:rsid w:val="004F4564"/>
    <w:rsid w:val="004F480A"/>
    <w:rsid w:val="004F49A8"/>
    <w:rsid w:val="004F4D4B"/>
    <w:rsid w:val="004F4E7A"/>
    <w:rsid w:val="004F5268"/>
    <w:rsid w:val="004F53D8"/>
    <w:rsid w:val="004F564F"/>
    <w:rsid w:val="004F57E1"/>
    <w:rsid w:val="004F5984"/>
    <w:rsid w:val="004F5A65"/>
    <w:rsid w:val="004F5D57"/>
    <w:rsid w:val="004F5DCA"/>
    <w:rsid w:val="004F5E2D"/>
    <w:rsid w:val="004F5F79"/>
    <w:rsid w:val="004F5FF2"/>
    <w:rsid w:val="004F60C1"/>
    <w:rsid w:val="004F6304"/>
    <w:rsid w:val="004F6550"/>
    <w:rsid w:val="004F673D"/>
    <w:rsid w:val="004F6A09"/>
    <w:rsid w:val="004F6D71"/>
    <w:rsid w:val="004F70E5"/>
    <w:rsid w:val="004F7718"/>
    <w:rsid w:val="004F77E8"/>
    <w:rsid w:val="004F787B"/>
    <w:rsid w:val="004F7ACC"/>
    <w:rsid w:val="004F7AD3"/>
    <w:rsid w:val="004F7F10"/>
    <w:rsid w:val="00500014"/>
    <w:rsid w:val="0050020A"/>
    <w:rsid w:val="00500400"/>
    <w:rsid w:val="0050053F"/>
    <w:rsid w:val="005005EF"/>
    <w:rsid w:val="00500740"/>
    <w:rsid w:val="005009F3"/>
    <w:rsid w:val="00500B1F"/>
    <w:rsid w:val="00500C9F"/>
    <w:rsid w:val="00500E5C"/>
    <w:rsid w:val="00500F08"/>
    <w:rsid w:val="00501283"/>
    <w:rsid w:val="0050179D"/>
    <w:rsid w:val="005017E3"/>
    <w:rsid w:val="00501923"/>
    <w:rsid w:val="00501E88"/>
    <w:rsid w:val="00502087"/>
    <w:rsid w:val="0050225D"/>
    <w:rsid w:val="0050237E"/>
    <w:rsid w:val="005026E3"/>
    <w:rsid w:val="005027A0"/>
    <w:rsid w:val="00502A67"/>
    <w:rsid w:val="00502A8E"/>
    <w:rsid w:val="00502AB4"/>
    <w:rsid w:val="00502D17"/>
    <w:rsid w:val="00502DF7"/>
    <w:rsid w:val="00502E27"/>
    <w:rsid w:val="00502F6D"/>
    <w:rsid w:val="0050318E"/>
    <w:rsid w:val="005033B1"/>
    <w:rsid w:val="00503A67"/>
    <w:rsid w:val="00503A8A"/>
    <w:rsid w:val="00503B3C"/>
    <w:rsid w:val="005045E2"/>
    <w:rsid w:val="00504790"/>
    <w:rsid w:val="00504ADA"/>
    <w:rsid w:val="00504D0D"/>
    <w:rsid w:val="00504DCC"/>
    <w:rsid w:val="005054BC"/>
    <w:rsid w:val="00505827"/>
    <w:rsid w:val="00505D9F"/>
    <w:rsid w:val="005069CD"/>
    <w:rsid w:val="005069DD"/>
    <w:rsid w:val="00506A20"/>
    <w:rsid w:val="00506CB0"/>
    <w:rsid w:val="00506F29"/>
    <w:rsid w:val="0050712E"/>
    <w:rsid w:val="00507539"/>
    <w:rsid w:val="005077A6"/>
    <w:rsid w:val="00507C40"/>
    <w:rsid w:val="00510377"/>
    <w:rsid w:val="00510474"/>
    <w:rsid w:val="00510563"/>
    <w:rsid w:val="00510855"/>
    <w:rsid w:val="00510BE9"/>
    <w:rsid w:val="00510C85"/>
    <w:rsid w:val="00510D91"/>
    <w:rsid w:val="005110A1"/>
    <w:rsid w:val="0051111B"/>
    <w:rsid w:val="0051160E"/>
    <w:rsid w:val="00511853"/>
    <w:rsid w:val="0051198C"/>
    <w:rsid w:val="00511A55"/>
    <w:rsid w:val="00512535"/>
    <w:rsid w:val="005125A2"/>
    <w:rsid w:val="005127DA"/>
    <w:rsid w:val="005127FB"/>
    <w:rsid w:val="00512B9C"/>
    <w:rsid w:val="00513203"/>
    <w:rsid w:val="005138D7"/>
    <w:rsid w:val="00513A32"/>
    <w:rsid w:val="00513FA2"/>
    <w:rsid w:val="00514068"/>
    <w:rsid w:val="0051413F"/>
    <w:rsid w:val="00514269"/>
    <w:rsid w:val="0051442B"/>
    <w:rsid w:val="0051482D"/>
    <w:rsid w:val="00514B3D"/>
    <w:rsid w:val="005155A1"/>
    <w:rsid w:val="0051566E"/>
    <w:rsid w:val="00515793"/>
    <w:rsid w:val="00515DB0"/>
    <w:rsid w:val="00515E39"/>
    <w:rsid w:val="0051639D"/>
    <w:rsid w:val="00516411"/>
    <w:rsid w:val="005166BE"/>
    <w:rsid w:val="005166CF"/>
    <w:rsid w:val="00516960"/>
    <w:rsid w:val="00516B7B"/>
    <w:rsid w:val="00516BE1"/>
    <w:rsid w:val="00516C46"/>
    <w:rsid w:val="00516E13"/>
    <w:rsid w:val="00516E1F"/>
    <w:rsid w:val="00517258"/>
    <w:rsid w:val="005172C9"/>
    <w:rsid w:val="005172F4"/>
    <w:rsid w:val="00517352"/>
    <w:rsid w:val="005174AF"/>
    <w:rsid w:val="005174E1"/>
    <w:rsid w:val="00517671"/>
    <w:rsid w:val="00517C82"/>
    <w:rsid w:val="005201D8"/>
    <w:rsid w:val="00520DB7"/>
    <w:rsid w:val="00520E0B"/>
    <w:rsid w:val="0052133B"/>
    <w:rsid w:val="005215C5"/>
    <w:rsid w:val="00521A04"/>
    <w:rsid w:val="00521A54"/>
    <w:rsid w:val="00521DE6"/>
    <w:rsid w:val="0052217B"/>
    <w:rsid w:val="005223F9"/>
    <w:rsid w:val="00522453"/>
    <w:rsid w:val="005226B5"/>
    <w:rsid w:val="00522794"/>
    <w:rsid w:val="005227CF"/>
    <w:rsid w:val="00522B86"/>
    <w:rsid w:val="00522C80"/>
    <w:rsid w:val="00522FF1"/>
    <w:rsid w:val="00523187"/>
    <w:rsid w:val="005234CC"/>
    <w:rsid w:val="00523652"/>
    <w:rsid w:val="00523749"/>
    <w:rsid w:val="00523858"/>
    <w:rsid w:val="00523987"/>
    <w:rsid w:val="0052449C"/>
    <w:rsid w:val="0052486B"/>
    <w:rsid w:val="00524897"/>
    <w:rsid w:val="005249E8"/>
    <w:rsid w:val="00524C99"/>
    <w:rsid w:val="00524E6F"/>
    <w:rsid w:val="005258F8"/>
    <w:rsid w:val="00525918"/>
    <w:rsid w:val="00525CCC"/>
    <w:rsid w:val="00526184"/>
    <w:rsid w:val="00526713"/>
    <w:rsid w:val="00526ADE"/>
    <w:rsid w:val="00526CB7"/>
    <w:rsid w:val="0052706C"/>
    <w:rsid w:val="005273A6"/>
    <w:rsid w:val="00527423"/>
    <w:rsid w:val="00527712"/>
    <w:rsid w:val="0052780B"/>
    <w:rsid w:val="00527AA0"/>
    <w:rsid w:val="00527D72"/>
    <w:rsid w:val="00530156"/>
    <w:rsid w:val="00530546"/>
    <w:rsid w:val="00530C9A"/>
    <w:rsid w:val="005313BD"/>
    <w:rsid w:val="005317AB"/>
    <w:rsid w:val="005321FB"/>
    <w:rsid w:val="005327C9"/>
    <w:rsid w:val="00533053"/>
    <w:rsid w:val="00533201"/>
    <w:rsid w:val="005333B9"/>
    <w:rsid w:val="005337C3"/>
    <w:rsid w:val="00533B88"/>
    <w:rsid w:val="00533CC3"/>
    <w:rsid w:val="00533CF4"/>
    <w:rsid w:val="00534212"/>
    <w:rsid w:val="005344BB"/>
    <w:rsid w:val="005346F2"/>
    <w:rsid w:val="00534842"/>
    <w:rsid w:val="005349A9"/>
    <w:rsid w:val="00534FAC"/>
    <w:rsid w:val="005350AE"/>
    <w:rsid w:val="00535324"/>
    <w:rsid w:val="00535849"/>
    <w:rsid w:val="00535E37"/>
    <w:rsid w:val="00536221"/>
    <w:rsid w:val="00536615"/>
    <w:rsid w:val="005367A8"/>
    <w:rsid w:val="00536DC9"/>
    <w:rsid w:val="005370A0"/>
    <w:rsid w:val="005372A9"/>
    <w:rsid w:val="005372BE"/>
    <w:rsid w:val="005373A5"/>
    <w:rsid w:val="005373BF"/>
    <w:rsid w:val="00537A42"/>
    <w:rsid w:val="005406E1"/>
    <w:rsid w:val="005412DD"/>
    <w:rsid w:val="005415F5"/>
    <w:rsid w:val="00541C16"/>
    <w:rsid w:val="0054231D"/>
    <w:rsid w:val="005423C4"/>
    <w:rsid w:val="00542889"/>
    <w:rsid w:val="00543161"/>
    <w:rsid w:val="005434DC"/>
    <w:rsid w:val="005440C5"/>
    <w:rsid w:val="00544102"/>
    <w:rsid w:val="00544702"/>
    <w:rsid w:val="005447D9"/>
    <w:rsid w:val="00544975"/>
    <w:rsid w:val="00544CA9"/>
    <w:rsid w:val="00544F5A"/>
    <w:rsid w:val="00545669"/>
    <w:rsid w:val="00545758"/>
    <w:rsid w:val="005459A0"/>
    <w:rsid w:val="00545B48"/>
    <w:rsid w:val="00545F6B"/>
    <w:rsid w:val="005462BE"/>
    <w:rsid w:val="005462E7"/>
    <w:rsid w:val="00546C65"/>
    <w:rsid w:val="00546F4B"/>
    <w:rsid w:val="00546FAE"/>
    <w:rsid w:val="00547BCA"/>
    <w:rsid w:val="00547F44"/>
    <w:rsid w:val="005500F0"/>
    <w:rsid w:val="00550109"/>
    <w:rsid w:val="005501BD"/>
    <w:rsid w:val="005505C6"/>
    <w:rsid w:val="00550655"/>
    <w:rsid w:val="00550DE5"/>
    <w:rsid w:val="00551141"/>
    <w:rsid w:val="00551231"/>
    <w:rsid w:val="005515F8"/>
    <w:rsid w:val="005517D2"/>
    <w:rsid w:val="005517D4"/>
    <w:rsid w:val="0055185A"/>
    <w:rsid w:val="00551D5F"/>
    <w:rsid w:val="00551EF2"/>
    <w:rsid w:val="00551F2B"/>
    <w:rsid w:val="00552063"/>
    <w:rsid w:val="0055209B"/>
    <w:rsid w:val="005520F2"/>
    <w:rsid w:val="0055249A"/>
    <w:rsid w:val="005524F5"/>
    <w:rsid w:val="00552A78"/>
    <w:rsid w:val="00553306"/>
    <w:rsid w:val="00553A6D"/>
    <w:rsid w:val="00553C17"/>
    <w:rsid w:val="00553E78"/>
    <w:rsid w:val="00554BCD"/>
    <w:rsid w:val="00554E04"/>
    <w:rsid w:val="00555062"/>
    <w:rsid w:val="0055512B"/>
    <w:rsid w:val="005552CA"/>
    <w:rsid w:val="00555721"/>
    <w:rsid w:val="005557A4"/>
    <w:rsid w:val="00555A79"/>
    <w:rsid w:val="00555F5E"/>
    <w:rsid w:val="0055602B"/>
    <w:rsid w:val="00556085"/>
    <w:rsid w:val="00556426"/>
    <w:rsid w:val="005568BE"/>
    <w:rsid w:val="0055720F"/>
    <w:rsid w:val="0055726C"/>
    <w:rsid w:val="005577DA"/>
    <w:rsid w:val="00557ED5"/>
    <w:rsid w:val="005605A3"/>
    <w:rsid w:val="005609E7"/>
    <w:rsid w:val="00560AF1"/>
    <w:rsid w:val="00560B24"/>
    <w:rsid w:val="00560E39"/>
    <w:rsid w:val="00561356"/>
    <w:rsid w:val="0056157B"/>
    <w:rsid w:val="005616EF"/>
    <w:rsid w:val="00561718"/>
    <w:rsid w:val="00561A0D"/>
    <w:rsid w:val="00561C08"/>
    <w:rsid w:val="00561E96"/>
    <w:rsid w:val="00562121"/>
    <w:rsid w:val="00562122"/>
    <w:rsid w:val="00562698"/>
    <w:rsid w:val="005629E2"/>
    <w:rsid w:val="00562A45"/>
    <w:rsid w:val="00562C57"/>
    <w:rsid w:val="00562CD1"/>
    <w:rsid w:val="005633E6"/>
    <w:rsid w:val="0056340E"/>
    <w:rsid w:val="005635E5"/>
    <w:rsid w:val="00563665"/>
    <w:rsid w:val="00563BAF"/>
    <w:rsid w:val="00563D02"/>
    <w:rsid w:val="005643D3"/>
    <w:rsid w:val="00565204"/>
    <w:rsid w:val="00565256"/>
    <w:rsid w:val="0056528D"/>
    <w:rsid w:val="00565536"/>
    <w:rsid w:val="005656C9"/>
    <w:rsid w:val="005658DB"/>
    <w:rsid w:val="00565A45"/>
    <w:rsid w:val="00565BFE"/>
    <w:rsid w:val="00565EE1"/>
    <w:rsid w:val="0056623A"/>
    <w:rsid w:val="00566B37"/>
    <w:rsid w:val="005670F3"/>
    <w:rsid w:val="00567393"/>
    <w:rsid w:val="005674D0"/>
    <w:rsid w:val="00567750"/>
    <w:rsid w:val="00567893"/>
    <w:rsid w:val="00567BDC"/>
    <w:rsid w:val="005700B1"/>
    <w:rsid w:val="0057018E"/>
    <w:rsid w:val="005704D1"/>
    <w:rsid w:val="0057065E"/>
    <w:rsid w:val="00570814"/>
    <w:rsid w:val="00570880"/>
    <w:rsid w:val="005708F3"/>
    <w:rsid w:val="00570B58"/>
    <w:rsid w:val="00570D39"/>
    <w:rsid w:val="00570F26"/>
    <w:rsid w:val="0057125B"/>
    <w:rsid w:val="00571316"/>
    <w:rsid w:val="005717FC"/>
    <w:rsid w:val="005718FC"/>
    <w:rsid w:val="00571C85"/>
    <w:rsid w:val="0057202B"/>
    <w:rsid w:val="00572578"/>
    <w:rsid w:val="00572686"/>
    <w:rsid w:val="00572765"/>
    <w:rsid w:val="00572883"/>
    <w:rsid w:val="00572908"/>
    <w:rsid w:val="00572D4D"/>
    <w:rsid w:val="00572E0C"/>
    <w:rsid w:val="00573608"/>
    <w:rsid w:val="0057366A"/>
    <w:rsid w:val="00573684"/>
    <w:rsid w:val="00573959"/>
    <w:rsid w:val="00573BB3"/>
    <w:rsid w:val="00573D23"/>
    <w:rsid w:val="00573E86"/>
    <w:rsid w:val="005747A4"/>
    <w:rsid w:val="005749D7"/>
    <w:rsid w:val="00574A24"/>
    <w:rsid w:val="00574A9A"/>
    <w:rsid w:val="005750BF"/>
    <w:rsid w:val="005756CC"/>
    <w:rsid w:val="005757B2"/>
    <w:rsid w:val="00575818"/>
    <w:rsid w:val="005761BD"/>
    <w:rsid w:val="005767E2"/>
    <w:rsid w:val="005769EB"/>
    <w:rsid w:val="00576D64"/>
    <w:rsid w:val="00576EC4"/>
    <w:rsid w:val="00577356"/>
    <w:rsid w:val="0057760A"/>
    <w:rsid w:val="0057765C"/>
    <w:rsid w:val="0057767C"/>
    <w:rsid w:val="0057793C"/>
    <w:rsid w:val="00577C24"/>
    <w:rsid w:val="00577E6F"/>
    <w:rsid w:val="005800F7"/>
    <w:rsid w:val="00580162"/>
    <w:rsid w:val="00580248"/>
    <w:rsid w:val="0058036D"/>
    <w:rsid w:val="00580938"/>
    <w:rsid w:val="00580B00"/>
    <w:rsid w:val="00580C98"/>
    <w:rsid w:val="00580D92"/>
    <w:rsid w:val="005813AB"/>
    <w:rsid w:val="005815F9"/>
    <w:rsid w:val="00581FAC"/>
    <w:rsid w:val="0058209C"/>
    <w:rsid w:val="005820A5"/>
    <w:rsid w:val="0058222E"/>
    <w:rsid w:val="00582688"/>
    <w:rsid w:val="00582A92"/>
    <w:rsid w:val="00582F6D"/>
    <w:rsid w:val="0058326A"/>
    <w:rsid w:val="00583327"/>
    <w:rsid w:val="00583534"/>
    <w:rsid w:val="00583611"/>
    <w:rsid w:val="00583625"/>
    <w:rsid w:val="00583B3F"/>
    <w:rsid w:val="00584048"/>
    <w:rsid w:val="00584439"/>
    <w:rsid w:val="00584E15"/>
    <w:rsid w:val="00585043"/>
    <w:rsid w:val="005851B7"/>
    <w:rsid w:val="00585444"/>
    <w:rsid w:val="00585568"/>
    <w:rsid w:val="00585630"/>
    <w:rsid w:val="005857ED"/>
    <w:rsid w:val="00585D2C"/>
    <w:rsid w:val="00585F42"/>
    <w:rsid w:val="00586A19"/>
    <w:rsid w:val="00586B1F"/>
    <w:rsid w:val="00586DA2"/>
    <w:rsid w:val="005879FC"/>
    <w:rsid w:val="00587BE6"/>
    <w:rsid w:val="00587EA1"/>
    <w:rsid w:val="00590093"/>
    <w:rsid w:val="005902DF"/>
    <w:rsid w:val="00590712"/>
    <w:rsid w:val="00590F7A"/>
    <w:rsid w:val="00591192"/>
    <w:rsid w:val="00591203"/>
    <w:rsid w:val="005917DA"/>
    <w:rsid w:val="00591AA0"/>
    <w:rsid w:val="00591B64"/>
    <w:rsid w:val="00591EC1"/>
    <w:rsid w:val="0059225B"/>
    <w:rsid w:val="005927B6"/>
    <w:rsid w:val="00592A50"/>
    <w:rsid w:val="005930AE"/>
    <w:rsid w:val="0059363E"/>
    <w:rsid w:val="00593828"/>
    <w:rsid w:val="0059393E"/>
    <w:rsid w:val="00593AA9"/>
    <w:rsid w:val="00593B0C"/>
    <w:rsid w:val="00593D87"/>
    <w:rsid w:val="0059400D"/>
    <w:rsid w:val="005940A5"/>
    <w:rsid w:val="00594452"/>
    <w:rsid w:val="00594A3F"/>
    <w:rsid w:val="0059510E"/>
    <w:rsid w:val="0059567C"/>
    <w:rsid w:val="0059576A"/>
    <w:rsid w:val="00595809"/>
    <w:rsid w:val="00595DE3"/>
    <w:rsid w:val="0059612D"/>
    <w:rsid w:val="00596F01"/>
    <w:rsid w:val="005975D4"/>
    <w:rsid w:val="005976B7"/>
    <w:rsid w:val="00597997"/>
    <w:rsid w:val="005A029E"/>
    <w:rsid w:val="005A08B3"/>
    <w:rsid w:val="005A0D78"/>
    <w:rsid w:val="005A0F59"/>
    <w:rsid w:val="005A1175"/>
    <w:rsid w:val="005A1369"/>
    <w:rsid w:val="005A1716"/>
    <w:rsid w:val="005A2631"/>
    <w:rsid w:val="005A2C7C"/>
    <w:rsid w:val="005A2CD6"/>
    <w:rsid w:val="005A309C"/>
    <w:rsid w:val="005A30C4"/>
    <w:rsid w:val="005A34F2"/>
    <w:rsid w:val="005A3972"/>
    <w:rsid w:val="005A3B9E"/>
    <w:rsid w:val="005A3BBB"/>
    <w:rsid w:val="005A3E04"/>
    <w:rsid w:val="005A3E9D"/>
    <w:rsid w:val="005A3EE6"/>
    <w:rsid w:val="005A4240"/>
    <w:rsid w:val="005A447A"/>
    <w:rsid w:val="005A468D"/>
    <w:rsid w:val="005A48F3"/>
    <w:rsid w:val="005A4BEC"/>
    <w:rsid w:val="005A4E54"/>
    <w:rsid w:val="005A4FA7"/>
    <w:rsid w:val="005A5452"/>
    <w:rsid w:val="005A58FF"/>
    <w:rsid w:val="005A600C"/>
    <w:rsid w:val="005A60E5"/>
    <w:rsid w:val="005A635B"/>
    <w:rsid w:val="005A6471"/>
    <w:rsid w:val="005A6AA0"/>
    <w:rsid w:val="005A70A7"/>
    <w:rsid w:val="005A737A"/>
    <w:rsid w:val="005A7412"/>
    <w:rsid w:val="005A750A"/>
    <w:rsid w:val="005A7529"/>
    <w:rsid w:val="005A76EB"/>
    <w:rsid w:val="005A777E"/>
    <w:rsid w:val="005A7C79"/>
    <w:rsid w:val="005B009A"/>
    <w:rsid w:val="005B0602"/>
    <w:rsid w:val="005B0CD5"/>
    <w:rsid w:val="005B0F8A"/>
    <w:rsid w:val="005B0FAD"/>
    <w:rsid w:val="005B183D"/>
    <w:rsid w:val="005B1A88"/>
    <w:rsid w:val="005B1C79"/>
    <w:rsid w:val="005B1C99"/>
    <w:rsid w:val="005B1D94"/>
    <w:rsid w:val="005B2792"/>
    <w:rsid w:val="005B2BDC"/>
    <w:rsid w:val="005B2D1F"/>
    <w:rsid w:val="005B306F"/>
    <w:rsid w:val="005B394E"/>
    <w:rsid w:val="005B39D1"/>
    <w:rsid w:val="005B3CAB"/>
    <w:rsid w:val="005B4074"/>
    <w:rsid w:val="005B4766"/>
    <w:rsid w:val="005B48D8"/>
    <w:rsid w:val="005B4F5B"/>
    <w:rsid w:val="005B52EB"/>
    <w:rsid w:val="005B578D"/>
    <w:rsid w:val="005B6202"/>
    <w:rsid w:val="005B6834"/>
    <w:rsid w:val="005B6A35"/>
    <w:rsid w:val="005B70EF"/>
    <w:rsid w:val="005B7514"/>
    <w:rsid w:val="005B7929"/>
    <w:rsid w:val="005C0196"/>
    <w:rsid w:val="005C035C"/>
    <w:rsid w:val="005C07DD"/>
    <w:rsid w:val="005C0EB7"/>
    <w:rsid w:val="005C1134"/>
    <w:rsid w:val="005C13FD"/>
    <w:rsid w:val="005C1841"/>
    <w:rsid w:val="005C190D"/>
    <w:rsid w:val="005C20B0"/>
    <w:rsid w:val="005C23A7"/>
    <w:rsid w:val="005C23B3"/>
    <w:rsid w:val="005C2458"/>
    <w:rsid w:val="005C2565"/>
    <w:rsid w:val="005C26CA"/>
    <w:rsid w:val="005C2839"/>
    <w:rsid w:val="005C284F"/>
    <w:rsid w:val="005C2AFD"/>
    <w:rsid w:val="005C308C"/>
    <w:rsid w:val="005C39AB"/>
    <w:rsid w:val="005C421D"/>
    <w:rsid w:val="005C4381"/>
    <w:rsid w:val="005C4590"/>
    <w:rsid w:val="005C56FA"/>
    <w:rsid w:val="005C579A"/>
    <w:rsid w:val="005C597C"/>
    <w:rsid w:val="005C65E7"/>
    <w:rsid w:val="005C65FA"/>
    <w:rsid w:val="005C6BC5"/>
    <w:rsid w:val="005C6C0D"/>
    <w:rsid w:val="005C6CB6"/>
    <w:rsid w:val="005C6EC8"/>
    <w:rsid w:val="005C6EE8"/>
    <w:rsid w:val="005C72BD"/>
    <w:rsid w:val="005C77AD"/>
    <w:rsid w:val="005C7861"/>
    <w:rsid w:val="005C7D68"/>
    <w:rsid w:val="005D1158"/>
    <w:rsid w:val="005D1496"/>
    <w:rsid w:val="005D16D3"/>
    <w:rsid w:val="005D1734"/>
    <w:rsid w:val="005D1F8F"/>
    <w:rsid w:val="005D1F9B"/>
    <w:rsid w:val="005D1FDA"/>
    <w:rsid w:val="005D250C"/>
    <w:rsid w:val="005D2A70"/>
    <w:rsid w:val="005D2AF6"/>
    <w:rsid w:val="005D2EBD"/>
    <w:rsid w:val="005D2EEE"/>
    <w:rsid w:val="005D3122"/>
    <w:rsid w:val="005D31AF"/>
    <w:rsid w:val="005D377C"/>
    <w:rsid w:val="005D3D03"/>
    <w:rsid w:val="005D40C9"/>
    <w:rsid w:val="005D47E3"/>
    <w:rsid w:val="005D4A0C"/>
    <w:rsid w:val="005D4ADB"/>
    <w:rsid w:val="005D4C01"/>
    <w:rsid w:val="005D4F47"/>
    <w:rsid w:val="005D4FD5"/>
    <w:rsid w:val="005D51A7"/>
    <w:rsid w:val="005D5499"/>
    <w:rsid w:val="005D5AFD"/>
    <w:rsid w:val="005D5E30"/>
    <w:rsid w:val="005D6B93"/>
    <w:rsid w:val="005D6F1E"/>
    <w:rsid w:val="005D73F4"/>
    <w:rsid w:val="005D7F05"/>
    <w:rsid w:val="005E103C"/>
    <w:rsid w:val="005E118B"/>
    <w:rsid w:val="005E1314"/>
    <w:rsid w:val="005E143E"/>
    <w:rsid w:val="005E1BFE"/>
    <w:rsid w:val="005E1C00"/>
    <w:rsid w:val="005E1C02"/>
    <w:rsid w:val="005E1DFE"/>
    <w:rsid w:val="005E217F"/>
    <w:rsid w:val="005E246B"/>
    <w:rsid w:val="005E28C7"/>
    <w:rsid w:val="005E2ABD"/>
    <w:rsid w:val="005E337B"/>
    <w:rsid w:val="005E3865"/>
    <w:rsid w:val="005E3999"/>
    <w:rsid w:val="005E4006"/>
    <w:rsid w:val="005E4279"/>
    <w:rsid w:val="005E4298"/>
    <w:rsid w:val="005E4379"/>
    <w:rsid w:val="005E4840"/>
    <w:rsid w:val="005E4F44"/>
    <w:rsid w:val="005E57FE"/>
    <w:rsid w:val="005E5880"/>
    <w:rsid w:val="005E59BD"/>
    <w:rsid w:val="005E5B99"/>
    <w:rsid w:val="005E6125"/>
    <w:rsid w:val="005E613E"/>
    <w:rsid w:val="005E6442"/>
    <w:rsid w:val="005E6463"/>
    <w:rsid w:val="005E68C9"/>
    <w:rsid w:val="005E6974"/>
    <w:rsid w:val="005E6BFC"/>
    <w:rsid w:val="005E6D7B"/>
    <w:rsid w:val="005E6ED8"/>
    <w:rsid w:val="005E7811"/>
    <w:rsid w:val="005E7E8F"/>
    <w:rsid w:val="005F0377"/>
    <w:rsid w:val="005F04CE"/>
    <w:rsid w:val="005F06E0"/>
    <w:rsid w:val="005F0C23"/>
    <w:rsid w:val="005F142F"/>
    <w:rsid w:val="005F1650"/>
    <w:rsid w:val="005F191C"/>
    <w:rsid w:val="005F1DB8"/>
    <w:rsid w:val="005F1DC9"/>
    <w:rsid w:val="005F1E73"/>
    <w:rsid w:val="005F2D32"/>
    <w:rsid w:val="005F2F82"/>
    <w:rsid w:val="005F3210"/>
    <w:rsid w:val="005F3570"/>
    <w:rsid w:val="005F38E9"/>
    <w:rsid w:val="005F3B20"/>
    <w:rsid w:val="005F3B5C"/>
    <w:rsid w:val="005F41B0"/>
    <w:rsid w:val="005F457D"/>
    <w:rsid w:val="005F473E"/>
    <w:rsid w:val="005F4C71"/>
    <w:rsid w:val="005F4D94"/>
    <w:rsid w:val="005F51B0"/>
    <w:rsid w:val="005F54AF"/>
    <w:rsid w:val="005F5715"/>
    <w:rsid w:val="005F5974"/>
    <w:rsid w:val="005F5CBF"/>
    <w:rsid w:val="005F5D4D"/>
    <w:rsid w:val="005F6A10"/>
    <w:rsid w:val="005F6B0D"/>
    <w:rsid w:val="005F7143"/>
    <w:rsid w:val="005F7391"/>
    <w:rsid w:val="005F7639"/>
    <w:rsid w:val="005F7AD2"/>
    <w:rsid w:val="005F7E23"/>
    <w:rsid w:val="006004D5"/>
    <w:rsid w:val="0060091B"/>
    <w:rsid w:val="00600945"/>
    <w:rsid w:val="00600A05"/>
    <w:rsid w:val="00600DFC"/>
    <w:rsid w:val="0060100A"/>
    <w:rsid w:val="00601205"/>
    <w:rsid w:val="0060162D"/>
    <w:rsid w:val="00601667"/>
    <w:rsid w:val="00601685"/>
    <w:rsid w:val="0060184D"/>
    <w:rsid w:val="00601864"/>
    <w:rsid w:val="00601E05"/>
    <w:rsid w:val="00601F6A"/>
    <w:rsid w:val="00602169"/>
    <w:rsid w:val="00602547"/>
    <w:rsid w:val="006028B8"/>
    <w:rsid w:val="00602D18"/>
    <w:rsid w:val="00602E25"/>
    <w:rsid w:val="00602ECF"/>
    <w:rsid w:val="00603248"/>
    <w:rsid w:val="0060331F"/>
    <w:rsid w:val="00603662"/>
    <w:rsid w:val="0060384D"/>
    <w:rsid w:val="00603B2A"/>
    <w:rsid w:val="00603F44"/>
    <w:rsid w:val="00603FCE"/>
    <w:rsid w:val="0060402D"/>
    <w:rsid w:val="0060427C"/>
    <w:rsid w:val="006044F5"/>
    <w:rsid w:val="006045B1"/>
    <w:rsid w:val="0060465F"/>
    <w:rsid w:val="00604C01"/>
    <w:rsid w:val="00604D29"/>
    <w:rsid w:val="00605349"/>
    <w:rsid w:val="00605397"/>
    <w:rsid w:val="00605489"/>
    <w:rsid w:val="00605614"/>
    <w:rsid w:val="00605A60"/>
    <w:rsid w:val="00605AC1"/>
    <w:rsid w:val="006061B7"/>
    <w:rsid w:val="006061D7"/>
    <w:rsid w:val="0060731B"/>
    <w:rsid w:val="0060739B"/>
    <w:rsid w:val="006073FF"/>
    <w:rsid w:val="00607842"/>
    <w:rsid w:val="0060794D"/>
    <w:rsid w:val="00607A05"/>
    <w:rsid w:val="00607D53"/>
    <w:rsid w:val="0061000A"/>
    <w:rsid w:val="0061034C"/>
    <w:rsid w:val="00610B27"/>
    <w:rsid w:val="00610FBC"/>
    <w:rsid w:val="00611147"/>
    <w:rsid w:val="00611300"/>
    <w:rsid w:val="00611681"/>
    <w:rsid w:val="00612049"/>
    <w:rsid w:val="006125E4"/>
    <w:rsid w:val="0061288C"/>
    <w:rsid w:val="00612AF1"/>
    <w:rsid w:val="00612F35"/>
    <w:rsid w:val="00612F7B"/>
    <w:rsid w:val="00613419"/>
    <w:rsid w:val="00613585"/>
    <w:rsid w:val="00613796"/>
    <w:rsid w:val="00613C68"/>
    <w:rsid w:val="00613D03"/>
    <w:rsid w:val="0061452E"/>
    <w:rsid w:val="00614548"/>
    <w:rsid w:val="00614683"/>
    <w:rsid w:val="006146B9"/>
    <w:rsid w:val="00614794"/>
    <w:rsid w:val="00614DDD"/>
    <w:rsid w:val="00614EFB"/>
    <w:rsid w:val="006151F5"/>
    <w:rsid w:val="006157FC"/>
    <w:rsid w:val="00615848"/>
    <w:rsid w:val="0061595A"/>
    <w:rsid w:val="00615A7E"/>
    <w:rsid w:val="00615B90"/>
    <w:rsid w:val="00615C7C"/>
    <w:rsid w:val="00615F3C"/>
    <w:rsid w:val="006160F7"/>
    <w:rsid w:val="0061709A"/>
    <w:rsid w:val="00617822"/>
    <w:rsid w:val="00617894"/>
    <w:rsid w:val="00617AF4"/>
    <w:rsid w:val="00617C7A"/>
    <w:rsid w:val="00617CC1"/>
    <w:rsid w:val="00617D9C"/>
    <w:rsid w:val="00617E51"/>
    <w:rsid w:val="00620196"/>
    <w:rsid w:val="006201B6"/>
    <w:rsid w:val="006202AD"/>
    <w:rsid w:val="00620A48"/>
    <w:rsid w:val="00620C0A"/>
    <w:rsid w:val="00621005"/>
    <w:rsid w:val="00621551"/>
    <w:rsid w:val="00621807"/>
    <w:rsid w:val="00621923"/>
    <w:rsid w:val="0062193A"/>
    <w:rsid w:val="006224D6"/>
    <w:rsid w:val="006227D2"/>
    <w:rsid w:val="0062281B"/>
    <w:rsid w:val="00622BF8"/>
    <w:rsid w:val="006235BE"/>
    <w:rsid w:val="0062379F"/>
    <w:rsid w:val="0062383E"/>
    <w:rsid w:val="00623904"/>
    <w:rsid w:val="0062403C"/>
    <w:rsid w:val="00624558"/>
    <w:rsid w:val="00624629"/>
    <w:rsid w:val="00624853"/>
    <w:rsid w:val="00624D0C"/>
    <w:rsid w:val="00624F5B"/>
    <w:rsid w:val="006250B6"/>
    <w:rsid w:val="0062554F"/>
    <w:rsid w:val="00625619"/>
    <w:rsid w:val="00625C74"/>
    <w:rsid w:val="0062634A"/>
    <w:rsid w:val="00626AEC"/>
    <w:rsid w:val="00626E05"/>
    <w:rsid w:val="00626FB7"/>
    <w:rsid w:val="00627086"/>
    <w:rsid w:val="006275BA"/>
    <w:rsid w:val="006278A2"/>
    <w:rsid w:val="00630129"/>
    <w:rsid w:val="00630160"/>
    <w:rsid w:val="00630355"/>
    <w:rsid w:val="00630AEB"/>
    <w:rsid w:val="006313F6"/>
    <w:rsid w:val="006315BA"/>
    <w:rsid w:val="00631C4B"/>
    <w:rsid w:val="00631FBD"/>
    <w:rsid w:val="0063348C"/>
    <w:rsid w:val="00633505"/>
    <w:rsid w:val="006335F0"/>
    <w:rsid w:val="00633AAE"/>
    <w:rsid w:val="00633B49"/>
    <w:rsid w:val="00633D68"/>
    <w:rsid w:val="00633F80"/>
    <w:rsid w:val="00633FF9"/>
    <w:rsid w:val="0063417E"/>
    <w:rsid w:val="006344F0"/>
    <w:rsid w:val="0063474C"/>
    <w:rsid w:val="00634AD0"/>
    <w:rsid w:val="00634DBE"/>
    <w:rsid w:val="0063521D"/>
    <w:rsid w:val="00635296"/>
    <w:rsid w:val="00635499"/>
    <w:rsid w:val="00635642"/>
    <w:rsid w:val="00635779"/>
    <w:rsid w:val="00635905"/>
    <w:rsid w:val="00635ACC"/>
    <w:rsid w:val="00635B63"/>
    <w:rsid w:val="0063605D"/>
    <w:rsid w:val="0063607C"/>
    <w:rsid w:val="006369A2"/>
    <w:rsid w:val="00636FD3"/>
    <w:rsid w:val="00636FF4"/>
    <w:rsid w:val="006375A8"/>
    <w:rsid w:val="006375AC"/>
    <w:rsid w:val="006378D2"/>
    <w:rsid w:val="00637A85"/>
    <w:rsid w:val="00637BA8"/>
    <w:rsid w:val="00637E50"/>
    <w:rsid w:val="00637F44"/>
    <w:rsid w:val="006407B1"/>
    <w:rsid w:val="00640873"/>
    <w:rsid w:val="00640E12"/>
    <w:rsid w:val="00640E8F"/>
    <w:rsid w:val="00640EE9"/>
    <w:rsid w:val="006414AF"/>
    <w:rsid w:val="00641A71"/>
    <w:rsid w:val="00641B1A"/>
    <w:rsid w:val="00642401"/>
    <w:rsid w:val="0064260B"/>
    <w:rsid w:val="006427AE"/>
    <w:rsid w:val="006429D2"/>
    <w:rsid w:val="00642C18"/>
    <w:rsid w:val="0064326F"/>
    <w:rsid w:val="00643658"/>
    <w:rsid w:val="006436B2"/>
    <w:rsid w:val="00644095"/>
    <w:rsid w:val="00644356"/>
    <w:rsid w:val="00644A92"/>
    <w:rsid w:val="00644E15"/>
    <w:rsid w:val="006459B4"/>
    <w:rsid w:val="00645C64"/>
    <w:rsid w:val="00645C89"/>
    <w:rsid w:val="00645F95"/>
    <w:rsid w:val="00646123"/>
    <w:rsid w:val="00646183"/>
    <w:rsid w:val="006461BD"/>
    <w:rsid w:val="006464DC"/>
    <w:rsid w:val="0064668A"/>
    <w:rsid w:val="006466A4"/>
    <w:rsid w:val="006466FC"/>
    <w:rsid w:val="006469A0"/>
    <w:rsid w:val="00646E4F"/>
    <w:rsid w:val="00647B02"/>
    <w:rsid w:val="00647BBF"/>
    <w:rsid w:val="00647D57"/>
    <w:rsid w:val="0065060C"/>
    <w:rsid w:val="006512AD"/>
    <w:rsid w:val="006513E8"/>
    <w:rsid w:val="00651B25"/>
    <w:rsid w:val="00651D2F"/>
    <w:rsid w:val="00651E38"/>
    <w:rsid w:val="006522AB"/>
    <w:rsid w:val="00652340"/>
    <w:rsid w:val="0065256A"/>
    <w:rsid w:val="0065289E"/>
    <w:rsid w:val="00652A72"/>
    <w:rsid w:val="00652E60"/>
    <w:rsid w:val="006530D0"/>
    <w:rsid w:val="006536BC"/>
    <w:rsid w:val="00653771"/>
    <w:rsid w:val="006537C8"/>
    <w:rsid w:val="00653E3F"/>
    <w:rsid w:val="00653EFE"/>
    <w:rsid w:val="0065408F"/>
    <w:rsid w:val="006540A2"/>
    <w:rsid w:val="006548A0"/>
    <w:rsid w:val="006549D9"/>
    <w:rsid w:val="0065513F"/>
    <w:rsid w:val="00655ACA"/>
    <w:rsid w:val="00655F75"/>
    <w:rsid w:val="006560AA"/>
    <w:rsid w:val="006560B9"/>
    <w:rsid w:val="006563A3"/>
    <w:rsid w:val="006564A8"/>
    <w:rsid w:val="0065693E"/>
    <w:rsid w:val="00656B89"/>
    <w:rsid w:val="00656F2A"/>
    <w:rsid w:val="00656FF2"/>
    <w:rsid w:val="0065730B"/>
    <w:rsid w:val="0065737B"/>
    <w:rsid w:val="00657485"/>
    <w:rsid w:val="006579A2"/>
    <w:rsid w:val="00657B2E"/>
    <w:rsid w:val="00657BD2"/>
    <w:rsid w:val="00660001"/>
    <w:rsid w:val="006600D9"/>
    <w:rsid w:val="00660185"/>
    <w:rsid w:val="0066018B"/>
    <w:rsid w:val="0066093B"/>
    <w:rsid w:val="006609DB"/>
    <w:rsid w:val="00660CD2"/>
    <w:rsid w:val="00660E6D"/>
    <w:rsid w:val="006610CA"/>
    <w:rsid w:val="0066135B"/>
    <w:rsid w:val="006617FA"/>
    <w:rsid w:val="0066191F"/>
    <w:rsid w:val="006619FE"/>
    <w:rsid w:val="00661ABF"/>
    <w:rsid w:val="00662102"/>
    <w:rsid w:val="006628A0"/>
    <w:rsid w:val="00662E47"/>
    <w:rsid w:val="0066341C"/>
    <w:rsid w:val="0066351B"/>
    <w:rsid w:val="0066391F"/>
    <w:rsid w:val="006640D2"/>
    <w:rsid w:val="006642F6"/>
    <w:rsid w:val="0066462E"/>
    <w:rsid w:val="00664787"/>
    <w:rsid w:val="00664972"/>
    <w:rsid w:val="00664BF6"/>
    <w:rsid w:val="00664D53"/>
    <w:rsid w:val="0066530A"/>
    <w:rsid w:val="0066532F"/>
    <w:rsid w:val="00665548"/>
    <w:rsid w:val="006656A2"/>
    <w:rsid w:val="006659B1"/>
    <w:rsid w:val="00665DB4"/>
    <w:rsid w:val="00665DDC"/>
    <w:rsid w:val="00666B3D"/>
    <w:rsid w:val="00667244"/>
    <w:rsid w:val="006672A7"/>
    <w:rsid w:val="006674E9"/>
    <w:rsid w:val="00667A09"/>
    <w:rsid w:val="00667E12"/>
    <w:rsid w:val="00670B56"/>
    <w:rsid w:val="00670B8D"/>
    <w:rsid w:val="00670E0E"/>
    <w:rsid w:val="00670F92"/>
    <w:rsid w:val="0067110B"/>
    <w:rsid w:val="00671145"/>
    <w:rsid w:val="00671403"/>
    <w:rsid w:val="006715EF"/>
    <w:rsid w:val="00671A79"/>
    <w:rsid w:val="00672039"/>
    <w:rsid w:val="00672283"/>
    <w:rsid w:val="00672714"/>
    <w:rsid w:val="00672D49"/>
    <w:rsid w:val="00672FA9"/>
    <w:rsid w:val="0067343C"/>
    <w:rsid w:val="006736E5"/>
    <w:rsid w:val="00673804"/>
    <w:rsid w:val="00673868"/>
    <w:rsid w:val="00673A5E"/>
    <w:rsid w:val="00673A9A"/>
    <w:rsid w:val="00673E65"/>
    <w:rsid w:val="00673E80"/>
    <w:rsid w:val="00673FE1"/>
    <w:rsid w:val="006742BB"/>
    <w:rsid w:val="006746D8"/>
    <w:rsid w:val="0067480E"/>
    <w:rsid w:val="00674AF0"/>
    <w:rsid w:val="00674D2F"/>
    <w:rsid w:val="0067514C"/>
    <w:rsid w:val="006760A0"/>
    <w:rsid w:val="006760FE"/>
    <w:rsid w:val="0067680B"/>
    <w:rsid w:val="00676B78"/>
    <w:rsid w:val="0067720C"/>
    <w:rsid w:val="00677391"/>
    <w:rsid w:val="00677E28"/>
    <w:rsid w:val="00677F27"/>
    <w:rsid w:val="006800EC"/>
    <w:rsid w:val="00680184"/>
    <w:rsid w:val="006803B4"/>
    <w:rsid w:val="006807BE"/>
    <w:rsid w:val="006809F3"/>
    <w:rsid w:val="00680F53"/>
    <w:rsid w:val="00681177"/>
    <w:rsid w:val="00681202"/>
    <w:rsid w:val="006812AD"/>
    <w:rsid w:val="006819C1"/>
    <w:rsid w:val="00681B3D"/>
    <w:rsid w:val="00681BBD"/>
    <w:rsid w:val="00681C35"/>
    <w:rsid w:val="00681E05"/>
    <w:rsid w:val="00681F33"/>
    <w:rsid w:val="00682084"/>
    <w:rsid w:val="006825F1"/>
    <w:rsid w:val="00682B2E"/>
    <w:rsid w:val="00682E22"/>
    <w:rsid w:val="006833F7"/>
    <w:rsid w:val="00683730"/>
    <w:rsid w:val="00683BE8"/>
    <w:rsid w:val="0068409C"/>
    <w:rsid w:val="00684360"/>
    <w:rsid w:val="006847C7"/>
    <w:rsid w:val="00684B93"/>
    <w:rsid w:val="00684BEF"/>
    <w:rsid w:val="00684FEE"/>
    <w:rsid w:val="00685418"/>
    <w:rsid w:val="00685ACE"/>
    <w:rsid w:val="00686136"/>
    <w:rsid w:val="00686416"/>
    <w:rsid w:val="00686F5A"/>
    <w:rsid w:val="00686FC5"/>
    <w:rsid w:val="00687057"/>
    <w:rsid w:val="00687431"/>
    <w:rsid w:val="00687444"/>
    <w:rsid w:val="0068757F"/>
    <w:rsid w:val="00687702"/>
    <w:rsid w:val="00687D59"/>
    <w:rsid w:val="00687EC4"/>
    <w:rsid w:val="00690020"/>
    <w:rsid w:val="006905B7"/>
    <w:rsid w:val="0069071A"/>
    <w:rsid w:val="00690C20"/>
    <w:rsid w:val="006913C3"/>
    <w:rsid w:val="006913C8"/>
    <w:rsid w:val="00691755"/>
    <w:rsid w:val="00691890"/>
    <w:rsid w:val="00691970"/>
    <w:rsid w:val="00691B4D"/>
    <w:rsid w:val="00691BB8"/>
    <w:rsid w:val="00691CCC"/>
    <w:rsid w:val="00692361"/>
    <w:rsid w:val="0069274C"/>
    <w:rsid w:val="006927C6"/>
    <w:rsid w:val="0069280F"/>
    <w:rsid w:val="006928DD"/>
    <w:rsid w:val="00692B65"/>
    <w:rsid w:val="00692E15"/>
    <w:rsid w:val="006933A3"/>
    <w:rsid w:val="006935F8"/>
    <w:rsid w:val="006939EA"/>
    <w:rsid w:val="00693EC4"/>
    <w:rsid w:val="00693F15"/>
    <w:rsid w:val="00694248"/>
    <w:rsid w:val="00694645"/>
    <w:rsid w:val="00695371"/>
    <w:rsid w:val="006955A2"/>
    <w:rsid w:val="0069566F"/>
    <w:rsid w:val="006958EA"/>
    <w:rsid w:val="006959CC"/>
    <w:rsid w:val="00695C22"/>
    <w:rsid w:val="00695EE3"/>
    <w:rsid w:val="00695F91"/>
    <w:rsid w:val="00696055"/>
    <w:rsid w:val="0069623C"/>
    <w:rsid w:val="006969FF"/>
    <w:rsid w:val="00696B75"/>
    <w:rsid w:val="00696B8D"/>
    <w:rsid w:val="00696C15"/>
    <w:rsid w:val="00696D12"/>
    <w:rsid w:val="00696FA1"/>
    <w:rsid w:val="006972A0"/>
    <w:rsid w:val="0069755B"/>
    <w:rsid w:val="00697914"/>
    <w:rsid w:val="006A09A5"/>
    <w:rsid w:val="006A0B1F"/>
    <w:rsid w:val="006A0C87"/>
    <w:rsid w:val="006A1381"/>
    <w:rsid w:val="006A1587"/>
    <w:rsid w:val="006A16B7"/>
    <w:rsid w:val="006A2687"/>
    <w:rsid w:val="006A2AE2"/>
    <w:rsid w:val="006A2EA9"/>
    <w:rsid w:val="006A2F9E"/>
    <w:rsid w:val="006A31A1"/>
    <w:rsid w:val="006A33DC"/>
    <w:rsid w:val="006A36CE"/>
    <w:rsid w:val="006A36F9"/>
    <w:rsid w:val="006A3856"/>
    <w:rsid w:val="006A3C4D"/>
    <w:rsid w:val="006A3D6D"/>
    <w:rsid w:val="006A3EE3"/>
    <w:rsid w:val="006A431B"/>
    <w:rsid w:val="006A46AA"/>
    <w:rsid w:val="006A48D9"/>
    <w:rsid w:val="006A4924"/>
    <w:rsid w:val="006A4A4B"/>
    <w:rsid w:val="006A4FFB"/>
    <w:rsid w:val="006A504E"/>
    <w:rsid w:val="006A549F"/>
    <w:rsid w:val="006A5D77"/>
    <w:rsid w:val="006A5E6F"/>
    <w:rsid w:val="006A5EFE"/>
    <w:rsid w:val="006A6355"/>
    <w:rsid w:val="006A645C"/>
    <w:rsid w:val="006A68DA"/>
    <w:rsid w:val="006A7C4C"/>
    <w:rsid w:val="006B002C"/>
    <w:rsid w:val="006B01C1"/>
    <w:rsid w:val="006B0504"/>
    <w:rsid w:val="006B0A0E"/>
    <w:rsid w:val="006B0E21"/>
    <w:rsid w:val="006B1302"/>
    <w:rsid w:val="006B13B5"/>
    <w:rsid w:val="006B19CE"/>
    <w:rsid w:val="006B1ACC"/>
    <w:rsid w:val="006B1AF4"/>
    <w:rsid w:val="006B1E95"/>
    <w:rsid w:val="006B20E4"/>
    <w:rsid w:val="006B20E6"/>
    <w:rsid w:val="006B221D"/>
    <w:rsid w:val="006B263A"/>
    <w:rsid w:val="006B293A"/>
    <w:rsid w:val="006B2AC5"/>
    <w:rsid w:val="006B2B50"/>
    <w:rsid w:val="006B30FB"/>
    <w:rsid w:val="006B3138"/>
    <w:rsid w:val="006B3823"/>
    <w:rsid w:val="006B3A2D"/>
    <w:rsid w:val="006B3D97"/>
    <w:rsid w:val="006B3F2B"/>
    <w:rsid w:val="006B3F55"/>
    <w:rsid w:val="006B4415"/>
    <w:rsid w:val="006B4930"/>
    <w:rsid w:val="006B4AE8"/>
    <w:rsid w:val="006B4B1F"/>
    <w:rsid w:val="006B4BA5"/>
    <w:rsid w:val="006B51F7"/>
    <w:rsid w:val="006B540C"/>
    <w:rsid w:val="006B5AD6"/>
    <w:rsid w:val="006B5D34"/>
    <w:rsid w:val="006B657F"/>
    <w:rsid w:val="006B65F6"/>
    <w:rsid w:val="006B6AD3"/>
    <w:rsid w:val="006B6D6C"/>
    <w:rsid w:val="006B6FFA"/>
    <w:rsid w:val="006B7463"/>
    <w:rsid w:val="006B75D0"/>
    <w:rsid w:val="006B76EC"/>
    <w:rsid w:val="006B7857"/>
    <w:rsid w:val="006B78AA"/>
    <w:rsid w:val="006B79E8"/>
    <w:rsid w:val="006B7A68"/>
    <w:rsid w:val="006B7E2D"/>
    <w:rsid w:val="006B7E41"/>
    <w:rsid w:val="006B7EA5"/>
    <w:rsid w:val="006B7F60"/>
    <w:rsid w:val="006C01A3"/>
    <w:rsid w:val="006C0302"/>
    <w:rsid w:val="006C06B9"/>
    <w:rsid w:val="006C095E"/>
    <w:rsid w:val="006C0B61"/>
    <w:rsid w:val="006C0E25"/>
    <w:rsid w:val="006C103F"/>
    <w:rsid w:val="006C13B2"/>
    <w:rsid w:val="006C1831"/>
    <w:rsid w:val="006C21BD"/>
    <w:rsid w:val="006C2232"/>
    <w:rsid w:val="006C224C"/>
    <w:rsid w:val="006C2274"/>
    <w:rsid w:val="006C2385"/>
    <w:rsid w:val="006C2590"/>
    <w:rsid w:val="006C2792"/>
    <w:rsid w:val="006C314E"/>
    <w:rsid w:val="006C32EA"/>
    <w:rsid w:val="006C338C"/>
    <w:rsid w:val="006C3408"/>
    <w:rsid w:val="006C3CE3"/>
    <w:rsid w:val="006C436C"/>
    <w:rsid w:val="006C4591"/>
    <w:rsid w:val="006C46D8"/>
    <w:rsid w:val="006C51C4"/>
    <w:rsid w:val="006C55B9"/>
    <w:rsid w:val="006C58FB"/>
    <w:rsid w:val="006C5938"/>
    <w:rsid w:val="006C5A08"/>
    <w:rsid w:val="006C5A35"/>
    <w:rsid w:val="006C5C42"/>
    <w:rsid w:val="006C6158"/>
    <w:rsid w:val="006C61B7"/>
    <w:rsid w:val="006C624F"/>
    <w:rsid w:val="006C6BD3"/>
    <w:rsid w:val="006C703E"/>
    <w:rsid w:val="006C7139"/>
    <w:rsid w:val="006C7156"/>
    <w:rsid w:val="006C75A2"/>
    <w:rsid w:val="006C76ED"/>
    <w:rsid w:val="006C7930"/>
    <w:rsid w:val="006C7E8B"/>
    <w:rsid w:val="006D04E7"/>
    <w:rsid w:val="006D07B4"/>
    <w:rsid w:val="006D0C8B"/>
    <w:rsid w:val="006D0D58"/>
    <w:rsid w:val="006D1B04"/>
    <w:rsid w:val="006D1B29"/>
    <w:rsid w:val="006D1D67"/>
    <w:rsid w:val="006D1ECC"/>
    <w:rsid w:val="006D261D"/>
    <w:rsid w:val="006D2C61"/>
    <w:rsid w:val="006D2FD1"/>
    <w:rsid w:val="006D349E"/>
    <w:rsid w:val="006D377A"/>
    <w:rsid w:val="006D3830"/>
    <w:rsid w:val="006D3848"/>
    <w:rsid w:val="006D38C4"/>
    <w:rsid w:val="006D3A04"/>
    <w:rsid w:val="006D3BBD"/>
    <w:rsid w:val="006D48EB"/>
    <w:rsid w:val="006D4D8C"/>
    <w:rsid w:val="006D5579"/>
    <w:rsid w:val="006D588B"/>
    <w:rsid w:val="006D5B5C"/>
    <w:rsid w:val="006D6068"/>
    <w:rsid w:val="006D666B"/>
    <w:rsid w:val="006D6B37"/>
    <w:rsid w:val="006D6EB8"/>
    <w:rsid w:val="006D702C"/>
    <w:rsid w:val="006D70D0"/>
    <w:rsid w:val="006D710D"/>
    <w:rsid w:val="006D74D9"/>
    <w:rsid w:val="006D7821"/>
    <w:rsid w:val="006D7B21"/>
    <w:rsid w:val="006D7E3E"/>
    <w:rsid w:val="006D7E65"/>
    <w:rsid w:val="006E0081"/>
    <w:rsid w:val="006E00CC"/>
    <w:rsid w:val="006E02BB"/>
    <w:rsid w:val="006E02D9"/>
    <w:rsid w:val="006E0659"/>
    <w:rsid w:val="006E0C0A"/>
    <w:rsid w:val="006E0F3E"/>
    <w:rsid w:val="006E1128"/>
    <w:rsid w:val="006E126F"/>
    <w:rsid w:val="006E1864"/>
    <w:rsid w:val="006E19E4"/>
    <w:rsid w:val="006E1D56"/>
    <w:rsid w:val="006E1F2C"/>
    <w:rsid w:val="006E2633"/>
    <w:rsid w:val="006E27BF"/>
    <w:rsid w:val="006E2AE7"/>
    <w:rsid w:val="006E2C56"/>
    <w:rsid w:val="006E2E9E"/>
    <w:rsid w:val="006E3058"/>
    <w:rsid w:val="006E33F6"/>
    <w:rsid w:val="006E3694"/>
    <w:rsid w:val="006E3861"/>
    <w:rsid w:val="006E3DC8"/>
    <w:rsid w:val="006E3E3F"/>
    <w:rsid w:val="006E410F"/>
    <w:rsid w:val="006E4B20"/>
    <w:rsid w:val="006E508A"/>
    <w:rsid w:val="006E5559"/>
    <w:rsid w:val="006E5D1F"/>
    <w:rsid w:val="006E6205"/>
    <w:rsid w:val="006E62A4"/>
    <w:rsid w:val="006E6C60"/>
    <w:rsid w:val="006E6E3D"/>
    <w:rsid w:val="006E70AA"/>
    <w:rsid w:val="006E755D"/>
    <w:rsid w:val="006E77CA"/>
    <w:rsid w:val="006E7F88"/>
    <w:rsid w:val="006E7F97"/>
    <w:rsid w:val="006F0091"/>
    <w:rsid w:val="006F0098"/>
    <w:rsid w:val="006F0A6C"/>
    <w:rsid w:val="006F0CDD"/>
    <w:rsid w:val="006F1254"/>
    <w:rsid w:val="006F12F3"/>
    <w:rsid w:val="006F139C"/>
    <w:rsid w:val="006F1400"/>
    <w:rsid w:val="006F14D9"/>
    <w:rsid w:val="006F150C"/>
    <w:rsid w:val="006F16ED"/>
    <w:rsid w:val="006F196B"/>
    <w:rsid w:val="006F2221"/>
    <w:rsid w:val="006F24A1"/>
    <w:rsid w:val="006F253C"/>
    <w:rsid w:val="006F2574"/>
    <w:rsid w:val="006F2E3B"/>
    <w:rsid w:val="006F3108"/>
    <w:rsid w:val="006F328E"/>
    <w:rsid w:val="006F3312"/>
    <w:rsid w:val="006F35A1"/>
    <w:rsid w:val="006F36DA"/>
    <w:rsid w:val="006F3789"/>
    <w:rsid w:val="006F39A5"/>
    <w:rsid w:val="006F39C4"/>
    <w:rsid w:val="006F3F73"/>
    <w:rsid w:val="006F3FE5"/>
    <w:rsid w:val="006F43BA"/>
    <w:rsid w:val="006F4680"/>
    <w:rsid w:val="006F4766"/>
    <w:rsid w:val="006F4FAC"/>
    <w:rsid w:val="006F5732"/>
    <w:rsid w:val="006F5BA6"/>
    <w:rsid w:val="006F5CFB"/>
    <w:rsid w:val="006F61E9"/>
    <w:rsid w:val="006F63AB"/>
    <w:rsid w:val="006F6623"/>
    <w:rsid w:val="006F6653"/>
    <w:rsid w:val="006F674D"/>
    <w:rsid w:val="006F68B9"/>
    <w:rsid w:val="006F69F4"/>
    <w:rsid w:val="006F6E69"/>
    <w:rsid w:val="006F6EC8"/>
    <w:rsid w:val="006F70BE"/>
    <w:rsid w:val="006F71AF"/>
    <w:rsid w:val="006F72E0"/>
    <w:rsid w:val="006F7322"/>
    <w:rsid w:val="006F733F"/>
    <w:rsid w:val="006F7449"/>
    <w:rsid w:val="006F7453"/>
    <w:rsid w:val="006F74EC"/>
    <w:rsid w:val="006F795A"/>
    <w:rsid w:val="006F7992"/>
    <w:rsid w:val="006F7E65"/>
    <w:rsid w:val="00700157"/>
    <w:rsid w:val="0070057A"/>
    <w:rsid w:val="00700639"/>
    <w:rsid w:val="00700B0D"/>
    <w:rsid w:val="00701271"/>
    <w:rsid w:val="0070147E"/>
    <w:rsid w:val="007016C8"/>
    <w:rsid w:val="00702194"/>
    <w:rsid w:val="0070269D"/>
    <w:rsid w:val="007026D5"/>
    <w:rsid w:val="00702877"/>
    <w:rsid w:val="00702B92"/>
    <w:rsid w:val="00702E70"/>
    <w:rsid w:val="00702E8C"/>
    <w:rsid w:val="00702EDF"/>
    <w:rsid w:val="007030A8"/>
    <w:rsid w:val="00703243"/>
    <w:rsid w:val="00703475"/>
    <w:rsid w:val="00703621"/>
    <w:rsid w:val="0070370A"/>
    <w:rsid w:val="00703DFB"/>
    <w:rsid w:val="00703E60"/>
    <w:rsid w:val="00704275"/>
    <w:rsid w:val="00704453"/>
    <w:rsid w:val="00704B7E"/>
    <w:rsid w:val="00704BCD"/>
    <w:rsid w:val="00704F1C"/>
    <w:rsid w:val="00705078"/>
    <w:rsid w:val="00705178"/>
    <w:rsid w:val="007053AD"/>
    <w:rsid w:val="007054D1"/>
    <w:rsid w:val="007055A9"/>
    <w:rsid w:val="007055D7"/>
    <w:rsid w:val="00705B68"/>
    <w:rsid w:val="00705E63"/>
    <w:rsid w:val="00705EBF"/>
    <w:rsid w:val="00706217"/>
    <w:rsid w:val="007066AD"/>
    <w:rsid w:val="00706E07"/>
    <w:rsid w:val="00706F72"/>
    <w:rsid w:val="0070723A"/>
    <w:rsid w:val="00707894"/>
    <w:rsid w:val="00707E03"/>
    <w:rsid w:val="00707EC6"/>
    <w:rsid w:val="0070CF42"/>
    <w:rsid w:val="007100EF"/>
    <w:rsid w:val="007102D4"/>
    <w:rsid w:val="00710488"/>
    <w:rsid w:val="0071071F"/>
    <w:rsid w:val="00710A2D"/>
    <w:rsid w:val="007112B8"/>
    <w:rsid w:val="0071175B"/>
    <w:rsid w:val="00711808"/>
    <w:rsid w:val="00712014"/>
    <w:rsid w:val="0071210E"/>
    <w:rsid w:val="007122A2"/>
    <w:rsid w:val="007123B7"/>
    <w:rsid w:val="00712654"/>
    <w:rsid w:val="007127FC"/>
    <w:rsid w:val="00712892"/>
    <w:rsid w:val="00712DF1"/>
    <w:rsid w:val="00712FF4"/>
    <w:rsid w:val="007132B9"/>
    <w:rsid w:val="00713626"/>
    <w:rsid w:val="007136B2"/>
    <w:rsid w:val="00713B63"/>
    <w:rsid w:val="00713C65"/>
    <w:rsid w:val="00714596"/>
    <w:rsid w:val="00714A46"/>
    <w:rsid w:val="00714B16"/>
    <w:rsid w:val="00714BE8"/>
    <w:rsid w:val="00714D4F"/>
    <w:rsid w:val="00714FB0"/>
    <w:rsid w:val="007151B3"/>
    <w:rsid w:val="00715432"/>
    <w:rsid w:val="0071588E"/>
    <w:rsid w:val="007158F9"/>
    <w:rsid w:val="00715AC1"/>
    <w:rsid w:val="00716857"/>
    <w:rsid w:val="007168F6"/>
    <w:rsid w:val="00716B67"/>
    <w:rsid w:val="00716C55"/>
    <w:rsid w:val="00716C6D"/>
    <w:rsid w:val="00716DC3"/>
    <w:rsid w:val="0071754D"/>
    <w:rsid w:val="0071764F"/>
    <w:rsid w:val="007176E8"/>
    <w:rsid w:val="00717B44"/>
    <w:rsid w:val="00720118"/>
    <w:rsid w:val="00720365"/>
    <w:rsid w:val="007203D4"/>
    <w:rsid w:val="00720779"/>
    <w:rsid w:val="007207F1"/>
    <w:rsid w:val="007208C7"/>
    <w:rsid w:val="00720D2D"/>
    <w:rsid w:val="00720E23"/>
    <w:rsid w:val="00721621"/>
    <w:rsid w:val="007216C1"/>
    <w:rsid w:val="0072198A"/>
    <w:rsid w:val="00721CAB"/>
    <w:rsid w:val="00722BCD"/>
    <w:rsid w:val="007231AC"/>
    <w:rsid w:val="007232DE"/>
    <w:rsid w:val="0072345F"/>
    <w:rsid w:val="00723E42"/>
    <w:rsid w:val="0072432A"/>
    <w:rsid w:val="0072490A"/>
    <w:rsid w:val="00724954"/>
    <w:rsid w:val="00724ED6"/>
    <w:rsid w:val="00724F12"/>
    <w:rsid w:val="007251B1"/>
    <w:rsid w:val="007251BD"/>
    <w:rsid w:val="00725283"/>
    <w:rsid w:val="007258B8"/>
    <w:rsid w:val="00726183"/>
    <w:rsid w:val="0072623D"/>
    <w:rsid w:val="00726324"/>
    <w:rsid w:val="00726368"/>
    <w:rsid w:val="0072653D"/>
    <w:rsid w:val="00727225"/>
    <w:rsid w:val="0072751C"/>
    <w:rsid w:val="007277A2"/>
    <w:rsid w:val="0072794A"/>
    <w:rsid w:val="00727997"/>
    <w:rsid w:val="007303B6"/>
    <w:rsid w:val="00730469"/>
    <w:rsid w:val="00730D01"/>
    <w:rsid w:val="00730D6E"/>
    <w:rsid w:val="00731033"/>
    <w:rsid w:val="00731454"/>
    <w:rsid w:val="0073184C"/>
    <w:rsid w:val="00731AF9"/>
    <w:rsid w:val="00731BBC"/>
    <w:rsid w:val="00731C7B"/>
    <w:rsid w:val="00731CD8"/>
    <w:rsid w:val="007322C3"/>
    <w:rsid w:val="0073245F"/>
    <w:rsid w:val="00732662"/>
    <w:rsid w:val="007328ED"/>
    <w:rsid w:val="00732D86"/>
    <w:rsid w:val="007335AD"/>
    <w:rsid w:val="0073367C"/>
    <w:rsid w:val="007336A0"/>
    <w:rsid w:val="00733C66"/>
    <w:rsid w:val="00733F25"/>
    <w:rsid w:val="007342C7"/>
    <w:rsid w:val="00734468"/>
    <w:rsid w:val="00734543"/>
    <w:rsid w:val="007346F9"/>
    <w:rsid w:val="00734CB4"/>
    <w:rsid w:val="00734D06"/>
    <w:rsid w:val="0073530C"/>
    <w:rsid w:val="00735697"/>
    <w:rsid w:val="00735910"/>
    <w:rsid w:val="00735C52"/>
    <w:rsid w:val="00735DF9"/>
    <w:rsid w:val="00736430"/>
    <w:rsid w:val="0073643E"/>
    <w:rsid w:val="00736A28"/>
    <w:rsid w:val="00736FCE"/>
    <w:rsid w:val="007375C0"/>
    <w:rsid w:val="00737868"/>
    <w:rsid w:val="007379BD"/>
    <w:rsid w:val="00737E9C"/>
    <w:rsid w:val="00740058"/>
    <w:rsid w:val="007400C1"/>
    <w:rsid w:val="00740444"/>
    <w:rsid w:val="00740976"/>
    <w:rsid w:val="00740A9C"/>
    <w:rsid w:val="00740CA5"/>
    <w:rsid w:val="00740F3F"/>
    <w:rsid w:val="00740FEA"/>
    <w:rsid w:val="00741188"/>
    <w:rsid w:val="00741502"/>
    <w:rsid w:val="007416D6"/>
    <w:rsid w:val="0074176D"/>
    <w:rsid w:val="007419DE"/>
    <w:rsid w:val="007419EE"/>
    <w:rsid w:val="00742253"/>
    <w:rsid w:val="00742342"/>
    <w:rsid w:val="007423C1"/>
    <w:rsid w:val="00742A36"/>
    <w:rsid w:val="00742B83"/>
    <w:rsid w:val="00742BD6"/>
    <w:rsid w:val="00743301"/>
    <w:rsid w:val="007436B9"/>
    <w:rsid w:val="007437F8"/>
    <w:rsid w:val="00744463"/>
    <w:rsid w:val="00744482"/>
    <w:rsid w:val="007445FC"/>
    <w:rsid w:val="00744740"/>
    <w:rsid w:val="00744B55"/>
    <w:rsid w:val="00744D10"/>
    <w:rsid w:val="00744FD2"/>
    <w:rsid w:val="00745081"/>
    <w:rsid w:val="007452AC"/>
    <w:rsid w:val="00745579"/>
    <w:rsid w:val="00745623"/>
    <w:rsid w:val="00745CFA"/>
    <w:rsid w:val="00745D11"/>
    <w:rsid w:val="00745D22"/>
    <w:rsid w:val="0074620B"/>
    <w:rsid w:val="00746543"/>
    <w:rsid w:val="0074690C"/>
    <w:rsid w:val="00746BF2"/>
    <w:rsid w:val="00747087"/>
    <w:rsid w:val="007477F3"/>
    <w:rsid w:val="00747BF0"/>
    <w:rsid w:val="00747D1B"/>
    <w:rsid w:val="00747D88"/>
    <w:rsid w:val="0075024A"/>
    <w:rsid w:val="007504A8"/>
    <w:rsid w:val="00750655"/>
    <w:rsid w:val="00750D6B"/>
    <w:rsid w:val="00750EFB"/>
    <w:rsid w:val="007510B3"/>
    <w:rsid w:val="007514E2"/>
    <w:rsid w:val="0075162A"/>
    <w:rsid w:val="0075195F"/>
    <w:rsid w:val="00751C00"/>
    <w:rsid w:val="00751C6C"/>
    <w:rsid w:val="00751F95"/>
    <w:rsid w:val="007523A1"/>
    <w:rsid w:val="00752744"/>
    <w:rsid w:val="00752A4A"/>
    <w:rsid w:val="0075319F"/>
    <w:rsid w:val="0075380C"/>
    <w:rsid w:val="00753984"/>
    <w:rsid w:val="00753A6F"/>
    <w:rsid w:val="00753F1A"/>
    <w:rsid w:val="00753FD5"/>
    <w:rsid w:val="007540A3"/>
    <w:rsid w:val="007546A8"/>
    <w:rsid w:val="007547F5"/>
    <w:rsid w:val="0075543F"/>
    <w:rsid w:val="007557A6"/>
    <w:rsid w:val="00755965"/>
    <w:rsid w:val="00755B23"/>
    <w:rsid w:val="00755FFF"/>
    <w:rsid w:val="007562A0"/>
    <w:rsid w:val="00756BE9"/>
    <w:rsid w:val="00756C1E"/>
    <w:rsid w:val="00756F01"/>
    <w:rsid w:val="00757385"/>
    <w:rsid w:val="00757510"/>
    <w:rsid w:val="00757CE0"/>
    <w:rsid w:val="00757F4D"/>
    <w:rsid w:val="00760909"/>
    <w:rsid w:val="007610B2"/>
    <w:rsid w:val="00761E22"/>
    <w:rsid w:val="0076269C"/>
    <w:rsid w:val="0076280B"/>
    <w:rsid w:val="00762855"/>
    <w:rsid w:val="007628E0"/>
    <w:rsid w:val="00762BCA"/>
    <w:rsid w:val="00762C7C"/>
    <w:rsid w:val="00762CAF"/>
    <w:rsid w:val="00762E33"/>
    <w:rsid w:val="0076307F"/>
    <w:rsid w:val="00763080"/>
    <w:rsid w:val="007632D2"/>
    <w:rsid w:val="0076369C"/>
    <w:rsid w:val="00763A8B"/>
    <w:rsid w:val="00764178"/>
    <w:rsid w:val="007646C8"/>
    <w:rsid w:val="00764829"/>
    <w:rsid w:val="00764830"/>
    <w:rsid w:val="007648D7"/>
    <w:rsid w:val="00764A2D"/>
    <w:rsid w:val="00764B1A"/>
    <w:rsid w:val="00764FB4"/>
    <w:rsid w:val="00765259"/>
    <w:rsid w:val="007653C0"/>
    <w:rsid w:val="00765417"/>
    <w:rsid w:val="0076545C"/>
    <w:rsid w:val="007654D9"/>
    <w:rsid w:val="007657B8"/>
    <w:rsid w:val="00765877"/>
    <w:rsid w:val="00765CEF"/>
    <w:rsid w:val="00765ED9"/>
    <w:rsid w:val="00766261"/>
    <w:rsid w:val="007662A0"/>
    <w:rsid w:val="00766653"/>
    <w:rsid w:val="007669DA"/>
    <w:rsid w:val="00766F7D"/>
    <w:rsid w:val="0076757E"/>
    <w:rsid w:val="00767D78"/>
    <w:rsid w:val="007700AF"/>
    <w:rsid w:val="0077021B"/>
    <w:rsid w:val="007704CC"/>
    <w:rsid w:val="0077055E"/>
    <w:rsid w:val="0077093D"/>
    <w:rsid w:val="00770B82"/>
    <w:rsid w:val="00770BC2"/>
    <w:rsid w:val="00770DB1"/>
    <w:rsid w:val="00770F9F"/>
    <w:rsid w:val="00771373"/>
    <w:rsid w:val="0077162A"/>
    <w:rsid w:val="00771789"/>
    <w:rsid w:val="00771894"/>
    <w:rsid w:val="007719A5"/>
    <w:rsid w:val="00771D19"/>
    <w:rsid w:val="007720D6"/>
    <w:rsid w:val="0077293B"/>
    <w:rsid w:val="00772E95"/>
    <w:rsid w:val="00772FFA"/>
    <w:rsid w:val="00773284"/>
    <w:rsid w:val="0077351B"/>
    <w:rsid w:val="00773624"/>
    <w:rsid w:val="0077380D"/>
    <w:rsid w:val="00773855"/>
    <w:rsid w:val="00773A22"/>
    <w:rsid w:val="00773A88"/>
    <w:rsid w:val="00773BCD"/>
    <w:rsid w:val="00773EA0"/>
    <w:rsid w:val="0077422B"/>
    <w:rsid w:val="00774648"/>
    <w:rsid w:val="007747E4"/>
    <w:rsid w:val="007748CD"/>
    <w:rsid w:val="00774994"/>
    <w:rsid w:val="00774B9A"/>
    <w:rsid w:val="00774E1B"/>
    <w:rsid w:val="007756B0"/>
    <w:rsid w:val="00775754"/>
    <w:rsid w:val="00775DC0"/>
    <w:rsid w:val="00775E12"/>
    <w:rsid w:val="00776077"/>
    <w:rsid w:val="00776885"/>
    <w:rsid w:val="00776C1E"/>
    <w:rsid w:val="00776D13"/>
    <w:rsid w:val="00776D95"/>
    <w:rsid w:val="00776E64"/>
    <w:rsid w:val="00776EEA"/>
    <w:rsid w:val="00776FD2"/>
    <w:rsid w:val="00777325"/>
    <w:rsid w:val="00777438"/>
    <w:rsid w:val="007779EC"/>
    <w:rsid w:val="00777AF5"/>
    <w:rsid w:val="00777CED"/>
    <w:rsid w:val="0078037E"/>
    <w:rsid w:val="0078085A"/>
    <w:rsid w:val="00780EE8"/>
    <w:rsid w:val="007810B8"/>
    <w:rsid w:val="007812E8"/>
    <w:rsid w:val="007813D2"/>
    <w:rsid w:val="00781825"/>
    <w:rsid w:val="00781A9A"/>
    <w:rsid w:val="00781BE6"/>
    <w:rsid w:val="00781EF8"/>
    <w:rsid w:val="00781F9A"/>
    <w:rsid w:val="00781FDE"/>
    <w:rsid w:val="0078231C"/>
    <w:rsid w:val="00782377"/>
    <w:rsid w:val="00782426"/>
    <w:rsid w:val="00782789"/>
    <w:rsid w:val="00782A0D"/>
    <w:rsid w:val="00782F73"/>
    <w:rsid w:val="00783888"/>
    <w:rsid w:val="00783A0A"/>
    <w:rsid w:val="00783CC9"/>
    <w:rsid w:val="00784359"/>
    <w:rsid w:val="0078446F"/>
    <w:rsid w:val="007844E6"/>
    <w:rsid w:val="00784559"/>
    <w:rsid w:val="007845DC"/>
    <w:rsid w:val="007849BF"/>
    <w:rsid w:val="00784DAA"/>
    <w:rsid w:val="00785A80"/>
    <w:rsid w:val="007864D6"/>
    <w:rsid w:val="00786C7D"/>
    <w:rsid w:val="00786CD9"/>
    <w:rsid w:val="0078735F"/>
    <w:rsid w:val="00787371"/>
    <w:rsid w:val="007873CA"/>
    <w:rsid w:val="007879EF"/>
    <w:rsid w:val="00787A0B"/>
    <w:rsid w:val="00787A38"/>
    <w:rsid w:val="00787D59"/>
    <w:rsid w:val="007900ED"/>
    <w:rsid w:val="0079034E"/>
    <w:rsid w:val="00790533"/>
    <w:rsid w:val="007905D8"/>
    <w:rsid w:val="00790B42"/>
    <w:rsid w:val="00790F00"/>
    <w:rsid w:val="00791481"/>
    <w:rsid w:val="00791509"/>
    <w:rsid w:val="00791908"/>
    <w:rsid w:val="0079197B"/>
    <w:rsid w:val="00791B0A"/>
    <w:rsid w:val="00791EE6"/>
    <w:rsid w:val="00792392"/>
    <w:rsid w:val="00792F13"/>
    <w:rsid w:val="007931CA"/>
    <w:rsid w:val="007934D7"/>
    <w:rsid w:val="00793938"/>
    <w:rsid w:val="00793B07"/>
    <w:rsid w:val="00793FA1"/>
    <w:rsid w:val="00794212"/>
    <w:rsid w:val="0079453E"/>
    <w:rsid w:val="00794564"/>
    <w:rsid w:val="00794950"/>
    <w:rsid w:val="00794A5E"/>
    <w:rsid w:val="00794B9D"/>
    <w:rsid w:val="00795591"/>
    <w:rsid w:val="00795AB2"/>
    <w:rsid w:val="00795BD0"/>
    <w:rsid w:val="00796123"/>
    <w:rsid w:val="0079627E"/>
    <w:rsid w:val="007962F6"/>
    <w:rsid w:val="00796752"/>
    <w:rsid w:val="007972D7"/>
    <w:rsid w:val="007A02AE"/>
    <w:rsid w:val="007A02CE"/>
    <w:rsid w:val="007A0390"/>
    <w:rsid w:val="007A03BB"/>
    <w:rsid w:val="007A04AB"/>
    <w:rsid w:val="007A0571"/>
    <w:rsid w:val="007A06E2"/>
    <w:rsid w:val="007A0800"/>
    <w:rsid w:val="007A0A4D"/>
    <w:rsid w:val="007A0B6D"/>
    <w:rsid w:val="007A0C8E"/>
    <w:rsid w:val="007A0CFA"/>
    <w:rsid w:val="007A0D8D"/>
    <w:rsid w:val="007A0E04"/>
    <w:rsid w:val="007A1552"/>
    <w:rsid w:val="007A19C4"/>
    <w:rsid w:val="007A1B42"/>
    <w:rsid w:val="007A1C44"/>
    <w:rsid w:val="007A1E0F"/>
    <w:rsid w:val="007A2196"/>
    <w:rsid w:val="007A2203"/>
    <w:rsid w:val="007A26F5"/>
    <w:rsid w:val="007A2753"/>
    <w:rsid w:val="007A2772"/>
    <w:rsid w:val="007A29A6"/>
    <w:rsid w:val="007A2AEC"/>
    <w:rsid w:val="007A2F82"/>
    <w:rsid w:val="007A32DF"/>
    <w:rsid w:val="007A32F9"/>
    <w:rsid w:val="007A3720"/>
    <w:rsid w:val="007A3D30"/>
    <w:rsid w:val="007A3DB8"/>
    <w:rsid w:val="007A3E1F"/>
    <w:rsid w:val="007A4336"/>
    <w:rsid w:val="007A4445"/>
    <w:rsid w:val="007A49B1"/>
    <w:rsid w:val="007A4ACB"/>
    <w:rsid w:val="007A4B5B"/>
    <w:rsid w:val="007A4C8B"/>
    <w:rsid w:val="007A4CD7"/>
    <w:rsid w:val="007A4D4A"/>
    <w:rsid w:val="007A4F57"/>
    <w:rsid w:val="007A5262"/>
    <w:rsid w:val="007A52D7"/>
    <w:rsid w:val="007A534D"/>
    <w:rsid w:val="007A55AF"/>
    <w:rsid w:val="007A5AAF"/>
    <w:rsid w:val="007A5E0C"/>
    <w:rsid w:val="007A62BC"/>
    <w:rsid w:val="007A697C"/>
    <w:rsid w:val="007A6B7D"/>
    <w:rsid w:val="007A6D72"/>
    <w:rsid w:val="007A7409"/>
    <w:rsid w:val="007A744A"/>
    <w:rsid w:val="007A7557"/>
    <w:rsid w:val="007A75F6"/>
    <w:rsid w:val="007A778F"/>
    <w:rsid w:val="007A7C8E"/>
    <w:rsid w:val="007A7D56"/>
    <w:rsid w:val="007A7E80"/>
    <w:rsid w:val="007A7F8B"/>
    <w:rsid w:val="007B0023"/>
    <w:rsid w:val="007B0F26"/>
    <w:rsid w:val="007B142D"/>
    <w:rsid w:val="007B1562"/>
    <w:rsid w:val="007B1874"/>
    <w:rsid w:val="007B18CD"/>
    <w:rsid w:val="007B1C12"/>
    <w:rsid w:val="007B1FDA"/>
    <w:rsid w:val="007B233C"/>
    <w:rsid w:val="007B2BC5"/>
    <w:rsid w:val="007B32B8"/>
    <w:rsid w:val="007B36EC"/>
    <w:rsid w:val="007B3A59"/>
    <w:rsid w:val="007B3D6C"/>
    <w:rsid w:val="007B3DAC"/>
    <w:rsid w:val="007B46F1"/>
    <w:rsid w:val="007B4B1F"/>
    <w:rsid w:val="007B4C63"/>
    <w:rsid w:val="007B5702"/>
    <w:rsid w:val="007B57A0"/>
    <w:rsid w:val="007B58F8"/>
    <w:rsid w:val="007B5A67"/>
    <w:rsid w:val="007B5B9A"/>
    <w:rsid w:val="007B6A4F"/>
    <w:rsid w:val="007B7369"/>
    <w:rsid w:val="007B75A7"/>
    <w:rsid w:val="007B77BA"/>
    <w:rsid w:val="007B7BCE"/>
    <w:rsid w:val="007B7E21"/>
    <w:rsid w:val="007C0125"/>
    <w:rsid w:val="007C0708"/>
    <w:rsid w:val="007C08E0"/>
    <w:rsid w:val="007C0C10"/>
    <w:rsid w:val="007C1D65"/>
    <w:rsid w:val="007C1ED9"/>
    <w:rsid w:val="007C23F9"/>
    <w:rsid w:val="007C2444"/>
    <w:rsid w:val="007C24B4"/>
    <w:rsid w:val="007C26A8"/>
    <w:rsid w:val="007C2E78"/>
    <w:rsid w:val="007C30CD"/>
    <w:rsid w:val="007C3748"/>
    <w:rsid w:val="007C37C5"/>
    <w:rsid w:val="007C3D17"/>
    <w:rsid w:val="007C3ED6"/>
    <w:rsid w:val="007C3EF7"/>
    <w:rsid w:val="007C41CC"/>
    <w:rsid w:val="007C4774"/>
    <w:rsid w:val="007C485D"/>
    <w:rsid w:val="007C4ED7"/>
    <w:rsid w:val="007C5005"/>
    <w:rsid w:val="007C5276"/>
    <w:rsid w:val="007C5557"/>
    <w:rsid w:val="007C5AFC"/>
    <w:rsid w:val="007C5D49"/>
    <w:rsid w:val="007C5EFF"/>
    <w:rsid w:val="007C5F5E"/>
    <w:rsid w:val="007C6783"/>
    <w:rsid w:val="007C688A"/>
    <w:rsid w:val="007C6CD8"/>
    <w:rsid w:val="007C7530"/>
    <w:rsid w:val="007C7939"/>
    <w:rsid w:val="007C7972"/>
    <w:rsid w:val="007C7B86"/>
    <w:rsid w:val="007C7D45"/>
    <w:rsid w:val="007C7DBC"/>
    <w:rsid w:val="007D00AF"/>
    <w:rsid w:val="007D0791"/>
    <w:rsid w:val="007D0F23"/>
    <w:rsid w:val="007D13AC"/>
    <w:rsid w:val="007D144C"/>
    <w:rsid w:val="007D1479"/>
    <w:rsid w:val="007D14F4"/>
    <w:rsid w:val="007D1B41"/>
    <w:rsid w:val="007D1B44"/>
    <w:rsid w:val="007D2372"/>
    <w:rsid w:val="007D23FB"/>
    <w:rsid w:val="007D27EB"/>
    <w:rsid w:val="007D29B6"/>
    <w:rsid w:val="007D2D01"/>
    <w:rsid w:val="007D2FDC"/>
    <w:rsid w:val="007D32D0"/>
    <w:rsid w:val="007D32E1"/>
    <w:rsid w:val="007D34E4"/>
    <w:rsid w:val="007D3645"/>
    <w:rsid w:val="007D3AE9"/>
    <w:rsid w:val="007D3FFC"/>
    <w:rsid w:val="007D404A"/>
    <w:rsid w:val="007D47CF"/>
    <w:rsid w:val="007D4AE9"/>
    <w:rsid w:val="007D4C1C"/>
    <w:rsid w:val="007D506E"/>
    <w:rsid w:val="007D5485"/>
    <w:rsid w:val="007D54E9"/>
    <w:rsid w:val="007D5565"/>
    <w:rsid w:val="007D5AF8"/>
    <w:rsid w:val="007D5FB5"/>
    <w:rsid w:val="007D6D34"/>
    <w:rsid w:val="007D71BF"/>
    <w:rsid w:val="007D71FC"/>
    <w:rsid w:val="007D72E7"/>
    <w:rsid w:val="007D760A"/>
    <w:rsid w:val="007D7EAC"/>
    <w:rsid w:val="007D7F0F"/>
    <w:rsid w:val="007E00D9"/>
    <w:rsid w:val="007E040B"/>
    <w:rsid w:val="007E042D"/>
    <w:rsid w:val="007E063A"/>
    <w:rsid w:val="007E075C"/>
    <w:rsid w:val="007E0DCC"/>
    <w:rsid w:val="007E1B9D"/>
    <w:rsid w:val="007E2247"/>
    <w:rsid w:val="007E2299"/>
    <w:rsid w:val="007E2529"/>
    <w:rsid w:val="007E2A73"/>
    <w:rsid w:val="007E311D"/>
    <w:rsid w:val="007E36AB"/>
    <w:rsid w:val="007E3AC8"/>
    <w:rsid w:val="007E3D18"/>
    <w:rsid w:val="007E3E26"/>
    <w:rsid w:val="007E4270"/>
    <w:rsid w:val="007E45A9"/>
    <w:rsid w:val="007E4853"/>
    <w:rsid w:val="007E48A9"/>
    <w:rsid w:val="007E4A12"/>
    <w:rsid w:val="007E4AB0"/>
    <w:rsid w:val="007E516E"/>
    <w:rsid w:val="007E5555"/>
    <w:rsid w:val="007E55A7"/>
    <w:rsid w:val="007E5B49"/>
    <w:rsid w:val="007E5C49"/>
    <w:rsid w:val="007E5DDB"/>
    <w:rsid w:val="007E5F5D"/>
    <w:rsid w:val="007E61CF"/>
    <w:rsid w:val="007E625C"/>
    <w:rsid w:val="007E6618"/>
    <w:rsid w:val="007E695D"/>
    <w:rsid w:val="007E6A31"/>
    <w:rsid w:val="007E6F20"/>
    <w:rsid w:val="007E6F47"/>
    <w:rsid w:val="007E6FCA"/>
    <w:rsid w:val="007E7021"/>
    <w:rsid w:val="007E787E"/>
    <w:rsid w:val="007E79D9"/>
    <w:rsid w:val="007F0244"/>
    <w:rsid w:val="007F075A"/>
    <w:rsid w:val="007F1136"/>
    <w:rsid w:val="007F161F"/>
    <w:rsid w:val="007F1AA2"/>
    <w:rsid w:val="007F1D6E"/>
    <w:rsid w:val="007F285E"/>
    <w:rsid w:val="007F2C6C"/>
    <w:rsid w:val="007F2D12"/>
    <w:rsid w:val="007F34CC"/>
    <w:rsid w:val="007F357B"/>
    <w:rsid w:val="007F35AB"/>
    <w:rsid w:val="007F3B56"/>
    <w:rsid w:val="007F3E6D"/>
    <w:rsid w:val="007F3EB6"/>
    <w:rsid w:val="007F3EDD"/>
    <w:rsid w:val="007F3F2E"/>
    <w:rsid w:val="007F4502"/>
    <w:rsid w:val="007F4558"/>
    <w:rsid w:val="007F4769"/>
    <w:rsid w:val="007F4A5B"/>
    <w:rsid w:val="007F4D83"/>
    <w:rsid w:val="007F4EC2"/>
    <w:rsid w:val="007F514E"/>
    <w:rsid w:val="007F52EC"/>
    <w:rsid w:val="007F5B86"/>
    <w:rsid w:val="007F5BB6"/>
    <w:rsid w:val="007F5F7F"/>
    <w:rsid w:val="007F606D"/>
    <w:rsid w:val="007F6171"/>
    <w:rsid w:val="007F61BF"/>
    <w:rsid w:val="007F6259"/>
    <w:rsid w:val="007F6393"/>
    <w:rsid w:val="007F664A"/>
    <w:rsid w:val="007F68CD"/>
    <w:rsid w:val="007F6A02"/>
    <w:rsid w:val="007F6C77"/>
    <w:rsid w:val="007F76DA"/>
    <w:rsid w:val="0080026A"/>
    <w:rsid w:val="008008CA"/>
    <w:rsid w:val="00800B5C"/>
    <w:rsid w:val="00800E78"/>
    <w:rsid w:val="008010DF"/>
    <w:rsid w:val="00801521"/>
    <w:rsid w:val="0080169D"/>
    <w:rsid w:val="00801E07"/>
    <w:rsid w:val="008022C4"/>
    <w:rsid w:val="008024E2"/>
    <w:rsid w:val="00802855"/>
    <w:rsid w:val="00802A50"/>
    <w:rsid w:val="00802A6E"/>
    <w:rsid w:val="00802F4F"/>
    <w:rsid w:val="00802F84"/>
    <w:rsid w:val="00803636"/>
    <w:rsid w:val="00803638"/>
    <w:rsid w:val="00803672"/>
    <w:rsid w:val="008036C7"/>
    <w:rsid w:val="008037A5"/>
    <w:rsid w:val="008037E2"/>
    <w:rsid w:val="00803C84"/>
    <w:rsid w:val="008041AD"/>
    <w:rsid w:val="00804D18"/>
    <w:rsid w:val="00804DD1"/>
    <w:rsid w:val="00804EFE"/>
    <w:rsid w:val="0080503C"/>
    <w:rsid w:val="0080533A"/>
    <w:rsid w:val="0080591E"/>
    <w:rsid w:val="0080610C"/>
    <w:rsid w:val="008062D0"/>
    <w:rsid w:val="00806F51"/>
    <w:rsid w:val="00807167"/>
    <w:rsid w:val="008071AC"/>
    <w:rsid w:val="00807338"/>
    <w:rsid w:val="00807929"/>
    <w:rsid w:val="00807A31"/>
    <w:rsid w:val="00807A54"/>
    <w:rsid w:val="00807CD4"/>
    <w:rsid w:val="00807D55"/>
    <w:rsid w:val="00807DDB"/>
    <w:rsid w:val="0081011D"/>
    <w:rsid w:val="008101B6"/>
    <w:rsid w:val="008105D9"/>
    <w:rsid w:val="008108E3"/>
    <w:rsid w:val="00810E91"/>
    <w:rsid w:val="008115CD"/>
    <w:rsid w:val="0081175F"/>
    <w:rsid w:val="00812082"/>
    <w:rsid w:val="0081258B"/>
    <w:rsid w:val="00812DD1"/>
    <w:rsid w:val="00812E96"/>
    <w:rsid w:val="00812F5C"/>
    <w:rsid w:val="0081315E"/>
    <w:rsid w:val="00813555"/>
    <w:rsid w:val="008136A6"/>
    <w:rsid w:val="008136DC"/>
    <w:rsid w:val="008138FC"/>
    <w:rsid w:val="00814680"/>
    <w:rsid w:val="00815083"/>
    <w:rsid w:val="008152C0"/>
    <w:rsid w:val="008152F8"/>
    <w:rsid w:val="00815807"/>
    <w:rsid w:val="00815B8E"/>
    <w:rsid w:val="00816783"/>
    <w:rsid w:val="00816AB1"/>
    <w:rsid w:val="00816D7B"/>
    <w:rsid w:val="00816E0D"/>
    <w:rsid w:val="00817674"/>
    <w:rsid w:val="00817A16"/>
    <w:rsid w:val="00817BC0"/>
    <w:rsid w:val="00817F05"/>
    <w:rsid w:val="00817F0A"/>
    <w:rsid w:val="00817FF7"/>
    <w:rsid w:val="008203BA"/>
    <w:rsid w:val="00820462"/>
    <w:rsid w:val="00820648"/>
    <w:rsid w:val="00820677"/>
    <w:rsid w:val="008207FF"/>
    <w:rsid w:val="00820E16"/>
    <w:rsid w:val="0082105D"/>
    <w:rsid w:val="00821131"/>
    <w:rsid w:val="00821324"/>
    <w:rsid w:val="00821626"/>
    <w:rsid w:val="00821983"/>
    <w:rsid w:val="00821B3C"/>
    <w:rsid w:val="00821BC6"/>
    <w:rsid w:val="00821BEF"/>
    <w:rsid w:val="00821EF8"/>
    <w:rsid w:val="0082207C"/>
    <w:rsid w:val="00822798"/>
    <w:rsid w:val="00822908"/>
    <w:rsid w:val="00822B49"/>
    <w:rsid w:val="00822C01"/>
    <w:rsid w:val="00822E27"/>
    <w:rsid w:val="00822EB8"/>
    <w:rsid w:val="00822EC7"/>
    <w:rsid w:val="00822EF2"/>
    <w:rsid w:val="0082304D"/>
    <w:rsid w:val="008230E8"/>
    <w:rsid w:val="008236B9"/>
    <w:rsid w:val="008237F7"/>
    <w:rsid w:val="00823B51"/>
    <w:rsid w:val="00823F5C"/>
    <w:rsid w:val="00824182"/>
    <w:rsid w:val="00824235"/>
    <w:rsid w:val="008242B9"/>
    <w:rsid w:val="00824588"/>
    <w:rsid w:val="00824A24"/>
    <w:rsid w:val="00824E30"/>
    <w:rsid w:val="00824E9C"/>
    <w:rsid w:val="0082543D"/>
    <w:rsid w:val="008256B3"/>
    <w:rsid w:val="00825B5A"/>
    <w:rsid w:val="00825ECB"/>
    <w:rsid w:val="0082628D"/>
    <w:rsid w:val="008263A1"/>
    <w:rsid w:val="008265E6"/>
    <w:rsid w:val="00826724"/>
    <w:rsid w:val="00826B53"/>
    <w:rsid w:val="00826DC5"/>
    <w:rsid w:val="00826F6F"/>
    <w:rsid w:val="00827A6D"/>
    <w:rsid w:val="008306EA"/>
    <w:rsid w:val="00830B48"/>
    <w:rsid w:val="00830CBE"/>
    <w:rsid w:val="00830D8D"/>
    <w:rsid w:val="0083124B"/>
    <w:rsid w:val="008312F5"/>
    <w:rsid w:val="0083143E"/>
    <w:rsid w:val="0083167E"/>
    <w:rsid w:val="0083213A"/>
    <w:rsid w:val="00832143"/>
    <w:rsid w:val="008321D6"/>
    <w:rsid w:val="00832262"/>
    <w:rsid w:val="00832293"/>
    <w:rsid w:val="00832444"/>
    <w:rsid w:val="00832A26"/>
    <w:rsid w:val="00832B68"/>
    <w:rsid w:val="008331C9"/>
    <w:rsid w:val="00833332"/>
    <w:rsid w:val="008334C2"/>
    <w:rsid w:val="008335C2"/>
    <w:rsid w:val="00833E1B"/>
    <w:rsid w:val="00833EE9"/>
    <w:rsid w:val="00834014"/>
    <w:rsid w:val="008349EE"/>
    <w:rsid w:val="00834AF4"/>
    <w:rsid w:val="00834D17"/>
    <w:rsid w:val="00835069"/>
    <w:rsid w:val="00835554"/>
    <w:rsid w:val="00835A2B"/>
    <w:rsid w:val="00835A89"/>
    <w:rsid w:val="00835ECF"/>
    <w:rsid w:val="0083619F"/>
    <w:rsid w:val="00836525"/>
    <w:rsid w:val="00836716"/>
    <w:rsid w:val="00836940"/>
    <w:rsid w:val="0083759B"/>
    <w:rsid w:val="00837695"/>
    <w:rsid w:val="00837B88"/>
    <w:rsid w:val="00837DD0"/>
    <w:rsid w:val="00837DFB"/>
    <w:rsid w:val="00837E79"/>
    <w:rsid w:val="00837F10"/>
    <w:rsid w:val="00840040"/>
    <w:rsid w:val="008408A4"/>
    <w:rsid w:val="00840C9C"/>
    <w:rsid w:val="00840F64"/>
    <w:rsid w:val="008414AE"/>
    <w:rsid w:val="00841694"/>
    <w:rsid w:val="00841ACF"/>
    <w:rsid w:val="00841DBA"/>
    <w:rsid w:val="00842381"/>
    <w:rsid w:val="008423B0"/>
    <w:rsid w:val="00842916"/>
    <w:rsid w:val="00842EB9"/>
    <w:rsid w:val="00842EE1"/>
    <w:rsid w:val="00842F8D"/>
    <w:rsid w:val="0084315E"/>
    <w:rsid w:val="0084321D"/>
    <w:rsid w:val="008433DD"/>
    <w:rsid w:val="00843750"/>
    <w:rsid w:val="008438A7"/>
    <w:rsid w:val="00843AEC"/>
    <w:rsid w:val="00843B1C"/>
    <w:rsid w:val="00843ED5"/>
    <w:rsid w:val="0084441C"/>
    <w:rsid w:val="00844F58"/>
    <w:rsid w:val="00844F7F"/>
    <w:rsid w:val="00844F9C"/>
    <w:rsid w:val="008453C1"/>
    <w:rsid w:val="008456E1"/>
    <w:rsid w:val="00845775"/>
    <w:rsid w:val="008459AC"/>
    <w:rsid w:val="00845C1D"/>
    <w:rsid w:val="00845FF0"/>
    <w:rsid w:val="00846814"/>
    <w:rsid w:val="0084682B"/>
    <w:rsid w:val="00847072"/>
    <w:rsid w:val="00847520"/>
    <w:rsid w:val="00847557"/>
    <w:rsid w:val="008475EA"/>
    <w:rsid w:val="0084773D"/>
    <w:rsid w:val="00847C88"/>
    <w:rsid w:val="00850355"/>
    <w:rsid w:val="008503A7"/>
    <w:rsid w:val="0085049D"/>
    <w:rsid w:val="0085077B"/>
    <w:rsid w:val="008508FC"/>
    <w:rsid w:val="00850AA3"/>
    <w:rsid w:val="00850D58"/>
    <w:rsid w:val="008514E8"/>
    <w:rsid w:val="00851742"/>
    <w:rsid w:val="00851956"/>
    <w:rsid w:val="00851A7B"/>
    <w:rsid w:val="00851BE3"/>
    <w:rsid w:val="00852131"/>
    <w:rsid w:val="0085259B"/>
    <w:rsid w:val="008528C5"/>
    <w:rsid w:val="00852B6A"/>
    <w:rsid w:val="00852F0F"/>
    <w:rsid w:val="008536C9"/>
    <w:rsid w:val="008537B3"/>
    <w:rsid w:val="00853AB8"/>
    <w:rsid w:val="00853C4B"/>
    <w:rsid w:val="00853F0B"/>
    <w:rsid w:val="008546D9"/>
    <w:rsid w:val="0085470B"/>
    <w:rsid w:val="008548FF"/>
    <w:rsid w:val="0085494B"/>
    <w:rsid w:val="00854B7B"/>
    <w:rsid w:val="00854FCF"/>
    <w:rsid w:val="00854FE3"/>
    <w:rsid w:val="00855121"/>
    <w:rsid w:val="0085539A"/>
    <w:rsid w:val="008555AC"/>
    <w:rsid w:val="00855768"/>
    <w:rsid w:val="00855B76"/>
    <w:rsid w:val="008565E2"/>
    <w:rsid w:val="00856856"/>
    <w:rsid w:val="00856D93"/>
    <w:rsid w:val="00856EAF"/>
    <w:rsid w:val="0085701D"/>
    <w:rsid w:val="00857211"/>
    <w:rsid w:val="0085774C"/>
    <w:rsid w:val="00857AD5"/>
    <w:rsid w:val="00857D0F"/>
    <w:rsid w:val="00857DE7"/>
    <w:rsid w:val="00857E2D"/>
    <w:rsid w:val="00857E2E"/>
    <w:rsid w:val="008602A2"/>
    <w:rsid w:val="008604A6"/>
    <w:rsid w:val="00860A72"/>
    <w:rsid w:val="008610A9"/>
    <w:rsid w:val="008616E2"/>
    <w:rsid w:val="00861733"/>
    <w:rsid w:val="008617D2"/>
    <w:rsid w:val="00861848"/>
    <w:rsid w:val="00861AEA"/>
    <w:rsid w:val="008620AE"/>
    <w:rsid w:val="00862315"/>
    <w:rsid w:val="00863265"/>
    <w:rsid w:val="008635F2"/>
    <w:rsid w:val="0086376B"/>
    <w:rsid w:val="0086378F"/>
    <w:rsid w:val="00863837"/>
    <w:rsid w:val="00863E46"/>
    <w:rsid w:val="00864182"/>
    <w:rsid w:val="0086418E"/>
    <w:rsid w:val="00864201"/>
    <w:rsid w:val="00864666"/>
    <w:rsid w:val="00865111"/>
    <w:rsid w:val="008653DA"/>
    <w:rsid w:val="00865D56"/>
    <w:rsid w:val="00865F2B"/>
    <w:rsid w:val="0086614A"/>
    <w:rsid w:val="0086635E"/>
    <w:rsid w:val="008663DE"/>
    <w:rsid w:val="00866CA3"/>
    <w:rsid w:val="00867CB3"/>
    <w:rsid w:val="00867FDA"/>
    <w:rsid w:val="008701E7"/>
    <w:rsid w:val="008702AE"/>
    <w:rsid w:val="008703DD"/>
    <w:rsid w:val="0087060B"/>
    <w:rsid w:val="00870754"/>
    <w:rsid w:val="00870816"/>
    <w:rsid w:val="00870AC5"/>
    <w:rsid w:val="00870DD1"/>
    <w:rsid w:val="00870F49"/>
    <w:rsid w:val="00871006"/>
    <w:rsid w:val="008712D1"/>
    <w:rsid w:val="00871401"/>
    <w:rsid w:val="008715BE"/>
    <w:rsid w:val="00871A55"/>
    <w:rsid w:val="00871BB3"/>
    <w:rsid w:val="00871C08"/>
    <w:rsid w:val="00872175"/>
    <w:rsid w:val="0087224A"/>
    <w:rsid w:val="0087225D"/>
    <w:rsid w:val="008722E4"/>
    <w:rsid w:val="008725A8"/>
    <w:rsid w:val="00872C28"/>
    <w:rsid w:val="00872C51"/>
    <w:rsid w:val="00872E3D"/>
    <w:rsid w:val="00872F81"/>
    <w:rsid w:val="00872FBA"/>
    <w:rsid w:val="00873881"/>
    <w:rsid w:val="008738B9"/>
    <w:rsid w:val="008739D2"/>
    <w:rsid w:val="008740DD"/>
    <w:rsid w:val="008743D9"/>
    <w:rsid w:val="008744EA"/>
    <w:rsid w:val="00874505"/>
    <w:rsid w:val="008746F1"/>
    <w:rsid w:val="00874A57"/>
    <w:rsid w:val="00874BFB"/>
    <w:rsid w:val="00874CD1"/>
    <w:rsid w:val="008750E4"/>
    <w:rsid w:val="00875181"/>
    <w:rsid w:val="008751EE"/>
    <w:rsid w:val="00875283"/>
    <w:rsid w:val="00875385"/>
    <w:rsid w:val="008753F9"/>
    <w:rsid w:val="0087567A"/>
    <w:rsid w:val="0087581A"/>
    <w:rsid w:val="00875A10"/>
    <w:rsid w:val="00875BDE"/>
    <w:rsid w:val="00875C49"/>
    <w:rsid w:val="00875E92"/>
    <w:rsid w:val="0087604D"/>
    <w:rsid w:val="00876134"/>
    <w:rsid w:val="00876166"/>
    <w:rsid w:val="00876235"/>
    <w:rsid w:val="0087648D"/>
    <w:rsid w:val="008765EE"/>
    <w:rsid w:val="008767BD"/>
    <w:rsid w:val="00876E81"/>
    <w:rsid w:val="00876F35"/>
    <w:rsid w:val="00877044"/>
    <w:rsid w:val="008770B7"/>
    <w:rsid w:val="00877426"/>
    <w:rsid w:val="008775BE"/>
    <w:rsid w:val="0087776E"/>
    <w:rsid w:val="0087798C"/>
    <w:rsid w:val="00877A72"/>
    <w:rsid w:val="00877E67"/>
    <w:rsid w:val="00877EF1"/>
    <w:rsid w:val="00877F40"/>
    <w:rsid w:val="00880132"/>
    <w:rsid w:val="00880228"/>
    <w:rsid w:val="00880273"/>
    <w:rsid w:val="00880A1E"/>
    <w:rsid w:val="0088143D"/>
    <w:rsid w:val="0088177E"/>
    <w:rsid w:val="00881AFF"/>
    <w:rsid w:val="00881C09"/>
    <w:rsid w:val="00881CF4"/>
    <w:rsid w:val="00881EB3"/>
    <w:rsid w:val="008827DA"/>
    <w:rsid w:val="00882D07"/>
    <w:rsid w:val="00882D6D"/>
    <w:rsid w:val="0088341B"/>
    <w:rsid w:val="00883851"/>
    <w:rsid w:val="00884126"/>
    <w:rsid w:val="0088490A"/>
    <w:rsid w:val="00884959"/>
    <w:rsid w:val="00884980"/>
    <w:rsid w:val="00884C1C"/>
    <w:rsid w:val="00884FDA"/>
    <w:rsid w:val="00885075"/>
    <w:rsid w:val="0088563E"/>
    <w:rsid w:val="0088578E"/>
    <w:rsid w:val="00885837"/>
    <w:rsid w:val="00885A71"/>
    <w:rsid w:val="00885CD4"/>
    <w:rsid w:val="0088602B"/>
    <w:rsid w:val="0088616D"/>
    <w:rsid w:val="00886737"/>
    <w:rsid w:val="00886809"/>
    <w:rsid w:val="00886821"/>
    <w:rsid w:val="00886AEF"/>
    <w:rsid w:val="00886B09"/>
    <w:rsid w:val="00887112"/>
    <w:rsid w:val="008877A6"/>
    <w:rsid w:val="00887C00"/>
    <w:rsid w:val="00890046"/>
    <w:rsid w:val="008900B6"/>
    <w:rsid w:val="0089058D"/>
    <w:rsid w:val="008907FB"/>
    <w:rsid w:val="00890BF6"/>
    <w:rsid w:val="00890FAA"/>
    <w:rsid w:val="00891132"/>
    <w:rsid w:val="0089153F"/>
    <w:rsid w:val="00891821"/>
    <w:rsid w:val="00891C64"/>
    <w:rsid w:val="00891D4B"/>
    <w:rsid w:val="008924B9"/>
    <w:rsid w:val="00892683"/>
    <w:rsid w:val="00892808"/>
    <w:rsid w:val="0089291B"/>
    <w:rsid w:val="00893BDD"/>
    <w:rsid w:val="00893E6A"/>
    <w:rsid w:val="00894586"/>
    <w:rsid w:val="00894619"/>
    <w:rsid w:val="00894684"/>
    <w:rsid w:val="00894A2B"/>
    <w:rsid w:val="00894A6B"/>
    <w:rsid w:val="0089500C"/>
    <w:rsid w:val="008953B4"/>
    <w:rsid w:val="00895504"/>
    <w:rsid w:val="0089587E"/>
    <w:rsid w:val="00895B90"/>
    <w:rsid w:val="00895D19"/>
    <w:rsid w:val="00895DBE"/>
    <w:rsid w:val="00895E2F"/>
    <w:rsid w:val="00896179"/>
    <w:rsid w:val="008967BB"/>
    <w:rsid w:val="00896A31"/>
    <w:rsid w:val="00896C50"/>
    <w:rsid w:val="00896D85"/>
    <w:rsid w:val="00896EB1"/>
    <w:rsid w:val="008975FB"/>
    <w:rsid w:val="00897680"/>
    <w:rsid w:val="008976F1"/>
    <w:rsid w:val="00897820"/>
    <w:rsid w:val="00897857"/>
    <w:rsid w:val="00897B08"/>
    <w:rsid w:val="008A03A1"/>
    <w:rsid w:val="008A07B3"/>
    <w:rsid w:val="008A0C00"/>
    <w:rsid w:val="008A0C84"/>
    <w:rsid w:val="008A15AE"/>
    <w:rsid w:val="008A1961"/>
    <w:rsid w:val="008A1AAF"/>
    <w:rsid w:val="008A1F71"/>
    <w:rsid w:val="008A2184"/>
    <w:rsid w:val="008A2372"/>
    <w:rsid w:val="008A2546"/>
    <w:rsid w:val="008A27C0"/>
    <w:rsid w:val="008A3937"/>
    <w:rsid w:val="008A3EAD"/>
    <w:rsid w:val="008A3F61"/>
    <w:rsid w:val="008A4229"/>
    <w:rsid w:val="008A4608"/>
    <w:rsid w:val="008A4B75"/>
    <w:rsid w:val="008A4E8F"/>
    <w:rsid w:val="008A4F2C"/>
    <w:rsid w:val="008A511C"/>
    <w:rsid w:val="008A5198"/>
    <w:rsid w:val="008A544A"/>
    <w:rsid w:val="008A54E0"/>
    <w:rsid w:val="008A55D8"/>
    <w:rsid w:val="008A56BA"/>
    <w:rsid w:val="008A5733"/>
    <w:rsid w:val="008A5B59"/>
    <w:rsid w:val="008A5BA2"/>
    <w:rsid w:val="008A5CF3"/>
    <w:rsid w:val="008A5EED"/>
    <w:rsid w:val="008A60F1"/>
    <w:rsid w:val="008A6222"/>
    <w:rsid w:val="008A6571"/>
    <w:rsid w:val="008A699C"/>
    <w:rsid w:val="008A76A3"/>
    <w:rsid w:val="008A7EF2"/>
    <w:rsid w:val="008B011A"/>
    <w:rsid w:val="008B0411"/>
    <w:rsid w:val="008B06AB"/>
    <w:rsid w:val="008B080C"/>
    <w:rsid w:val="008B119D"/>
    <w:rsid w:val="008B1A3B"/>
    <w:rsid w:val="008B1DCA"/>
    <w:rsid w:val="008B1DDC"/>
    <w:rsid w:val="008B1E52"/>
    <w:rsid w:val="008B1F43"/>
    <w:rsid w:val="008B2710"/>
    <w:rsid w:val="008B2CD2"/>
    <w:rsid w:val="008B2FFB"/>
    <w:rsid w:val="008B30EB"/>
    <w:rsid w:val="008B314C"/>
    <w:rsid w:val="008B34F4"/>
    <w:rsid w:val="008B35E9"/>
    <w:rsid w:val="008B383D"/>
    <w:rsid w:val="008B38F6"/>
    <w:rsid w:val="008B3940"/>
    <w:rsid w:val="008B3BDB"/>
    <w:rsid w:val="008B4B7A"/>
    <w:rsid w:val="008B4D3F"/>
    <w:rsid w:val="008B5258"/>
    <w:rsid w:val="008B52CC"/>
    <w:rsid w:val="008B5347"/>
    <w:rsid w:val="008B56E5"/>
    <w:rsid w:val="008B56F9"/>
    <w:rsid w:val="008B5BA5"/>
    <w:rsid w:val="008B5C6C"/>
    <w:rsid w:val="008B5C86"/>
    <w:rsid w:val="008B5E9B"/>
    <w:rsid w:val="008B5EC7"/>
    <w:rsid w:val="008B618A"/>
    <w:rsid w:val="008B621E"/>
    <w:rsid w:val="008B6426"/>
    <w:rsid w:val="008B6787"/>
    <w:rsid w:val="008B685E"/>
    <w:rsid w:val="008B69B0"/>
    <w:rsid w:val="008B6B13"/>
    <w:rsid w:val="008B7974"/>
    <w:rsid w:val="008B7BAB"/>
    <w:rsid w:val="008B7C4B"/>
    <w:rsid w:val="008B7E50"/>
    <w:rsid w:val="008B7FC8"/>
    <w:rsid w:val="008C03E7"/>
    <w:rsid w:val="008C0773"/>
    <w:rsid w:val="008C08BE"/>
    <w:rsid w:val="008C0B8E"/>
    <w:rsid w:val="008C0E20"/>
    <w:rsid w:val="008C1073"/>
    <w:rsid w:val="008C12FE"/>
    <w:rsid w:val="008C203B"/>
    <w:rsid w:val="008C22C9"/>
    <w:rsid w:val="008C2691"/>
    <w:rsid w:val="008C2CDD"/>
    <w:rsid w:val="008C2D0C"/>
    <w:rsid w:val="008C30F2"/>
    <w:rsid w:val="008C35DB"/>
    <w:rsid w:val="008C3A3A"/>
    <w:rsid w:val="008C3B91"/>
    <w:rsid w:val="008C3C7A"/>
    <w:rsid w:val="008C3CF1"/>
    <w:rsid w:val="008C3D15"/>
    <w:rsid w:val="008C404F"/>
    <w:rsid w:val="008C423D"/>
    <w:rsid w:val="008C42BA"/>
    <w:rsid w:val="008C42CF"/>
    <w:rsid w:val="008C45DD"/>
    <w:rsid w:val="008C4758"/>
    <w:rsid w:val="008C48B0"/>
    <w:rsid w:val="008C4D1D"/>
    <w:rsid w:val="008C4DC8"/>
    <w:rsid w:val="008C5526"/>
    <w:rsid w:val="008C5533"/>
    <w:rsid w:val="008C55B9"/>
    <w:rsid w:val="008C5620"/>
    <w:rsid w:val="008C5634"/>
    <w:rsid w:val="008C58AD"/>
    <w:rsid w:val="008C5C81"/>
    <w:rsid w:val="008C5F98"/>
    <w:rsid w:val="008C5FD2"/>
    <w:rsid w:val="008C612B"/>
    <w:rsid w:val="008C6295"/>
    <w:rsid w:val="008C6539"/>
    <w:rsid w:val="008C66CA"/>
    <w:rsid w:val="008C6DB8"/>
    <w:rsid w:val="008C6DE3"/>
    <w:rsid w:val="008C6EF9"/>
    <w:rsid w:val="008C720C"/>
    <w:rsid w:val="008C7413"/>
    <w:rsid w:val="008C77DF"/>
    <w:rsid w:val="008C7C8F"/>
    <w:rsid w:val="008C7D48"/>
    <w:rsid w:val="008C7E3D"/>
    <w:rsid w:val="008C7F44"/>
    <w:rsid w:val="008D0500"/>
    <w:rsid w:val="008D0765"/>
    <w:rsid w:val="008D0998"/>
    <w:rsid w:val="008D12E2"/>
    <w:rsid w:val="008D1B3B"/>
    <w:rsid w:val="008D1B72"/>
    <w:rsid w:val="008D1D4D"/>
    <w:rsid w:val="008D1DCF"/>
    <w:rsid w:val="008D2066"/>
    <w:rsid w:val="008D242B"/>
    <w:rsid w:val="008D282C"/>
    <w:rsid w:val="008D29E8"/>
    <w:rsid w:val="008D2A66"/>
    <w:rsid w:val="008D2F56"/>
    <w:rsid w:val="008D3438"/>
    <w:rsid w:val="008D4AB7"/>
    <w:rsid w:val="008D50AE"/>
    <w:rsid w:val="008D550B"/>
    <w:rsid w:val="008D5D3C"/>
    <w:rsid w:val="008D61C1"/>
    <w:rsid w:val="008D634B"/>
    <w:rsid w:val="008D65FB"/>
    <w:rsid w:val="008D66FA"/>
    <w:rsid w:val="008D6738"/>
    <w:rsid w:val="008D67F0"/>
    <w:rsid w:val="008D6A44"/>
    <w:rsid w:val="008D7372"/>
    <w:rsid w:val="008D79AC"/>
    <w:rsid w:val="008D7DD5"/>
    <w:rsid w:val="008E033B"/>
    <w:rsid w:val="008E04BE"/>
    <w:rsid w:val="008E055F"/>
    <w:rsid w:val="008E07E7"/>
    <w:rsid w:val="008E087A"/>
    <w:rsid w:val="008E0CB6"/>
    <w:rsid w:val="008E0D43"/>
    <w:rsid w:val="008E1371"/>
    <w:rsid w:val="008E1693"/>
    <w:rsid w:val="008E1A25"/>
    <w:rsid w:val="008E1A69"/>
    <w:rsid w:val="008E21AB"/>
    <w:rsid w:val="008E257D"/>
    <w:rsid w:val="008E2676"/>
    <w:rsid w:val="008E2DD6"/>
    <w:rsid w:val="008E3194"/>
    <w:rsid w:val="008E33DB"/>
    <w:rsid w:val="008E3740"/>
    <w:rsid w:val="008E3803"/>
    <w:rsid w:val="008E3830"/>
    <w:rsid w:val="008E395F"/>
    <w:rsid w:val="008E3F24"/>
    <w:rsid w:val="008E3F8A"/>
    <w:rsid w:val="008E417E"/>
    <w:rsid w:val="008E47D4"/>
    <w:rsid w:val="008E48B8"/>
    <w:rsid w:val="008E4E69"/>
    <w:rsid w:val="008E51DC"/>
    <w:rsid w:val="008E5434"/>
    <w:rsid w:val="008E57C0"/>
    <w:rsid w:val="008E57CC"/>
    <w:rsid w:val="008E5B04"/>
    <w:rsid w:val="008E5E94"/>
    <w:rsid w:val="008E62D5"/>
    <w:rsid w:val="008E6658"/>
    <w:rsid w:val="008E7244"/>
    <w:rsid w:val="008E7575"/>
    <w:rsid w:val="008E75B7"/>
    <w:rsid w:val="008E7CA1"/>
    <w:rsid w:val="008F01A8"/>
    <w:rsid w:val="008F0423"/>
    <w:rsid w:val="008F0663"/>
    <w:rsid w:val="008F076B"/>
    <w:rsid w:val="008F09A4"/>
    <w:rsid w:val="008F0D08"/>
    <w:rsid w:val="008F0D7A"/>
    <w:rsid w:val="008F1027"/>
    <w:rsid w:val="008F13C4"/>
    <w:rsid w:val="008F1405"/>
    <w:rsid w:val="008F1A97"/>
    <w:rsid w:val="008F1D58"/>
    <w:rsid w:val="008F1D8F"/>
    <w:rsid w:val="008F1E03"/>
    <w:rsid w:val="008F1E0A"/>
    <w:rsid w:val="008F1EDD"/>
    <w:rsid w:val="008F1F5E"/>
    <w:rsid w:val="008F24BC"/>
    <w:rsid w:val="008F26CC"/>
    <w:rsid w:val="008F295C"/>
    <w:rsid w:val="008F2973"/>
    <w:rsid w:val="008F2B99"/>
    <w:rsid w:val="008F36BB"/>
    <w:rsid w:val="008F3ADF"/>
    <w:rsid w:val="008F3E99"/>
    <w:rsid w:val="008F46EF"/>
    <w:rsid w:val="008F482A"/>
    <w:rsid w:val="008F5034"/>
    <w:rsid w:val="008F51C5"/>
    <w:rsid w:val="008F51DF"/>
    <w:rsid w:val="008F537E"/>
    <w:rsid w:val="008F5655"/>
    <w:rsid w:val="008F5827"/>
    <w:rsid w:val="008F597E"/>
    <w:rsid w:val="008F5CE2"/>
    <w:rsid w:val="008F5EC0"/>
    <w:rsid w:val="008F6005"/>
    <w:rsid w:val="008F63CA"/>
    <w:rsid w:val="008F6442"/>
    <w:rsid w:val="008F66BB"/>
    <w:rsid w:val="008F67D8"/>
    <w:rsid w:val="008F6846"/>
    <w:rsid w:val="008F6D40"/>
    <w:rsid w:val="008F6D56"/>
    <w:rsid w:val="008F6E21"/>
    <w:rsid w:val="008F7058"/>
    <w:rsid w:val="008F716C"/>
    <w:rsid w:val="008F73EF"/>
    <w:rsid w:val="008F7476"/>
    <w:rsid w:val="008F7F63"/>
    <w:rsid w:val="008F7FC6"/>
    <w:rsid w:val="008F7FF2"/>
    <w:rsid w:val="009000C3"/>
    <w:rsid w:val="009002A5"/>
    <w:rsid w:val="009002A8"/>
    <w:rsid w:val="0090075E"/>
    <w:rsid w:val="00900BE3"/>
    <w:rsid w:val="00900C3E"/>
    <w:rsid w:val="00900D64"/>
    <w:rsid w:val="00900F4E"/>
    <w:rsid w:val="00900FFF"/>
    <w:rsid w:val="0090124C"/>
    <w:rsid w:val="009012D1"/>
    <w:rsid w:val="00901367"/>
    <w:rsid w:val="00901B0D"/>
    <w:rsid w:val="00902174"/>
    <w:rsid w:val="009021B9"/>
    <w:rsid w:val="00902594"/>
    <w:rsid w:val="009026D0"/>
    <w:rsid w:val="00902B77"/>
    <w:rsid w:val="00902C84"/>
    <w:rsid w:val="00902E41"/>
    <w:rsid w:val="00903051"/>
    <w:rsid w:val="00903066"/>
    <w:rsid w:val="009030F4"/>
    <w:rsid w:val="00903167"/>
    <w:rsid w:val="00903224"/>
    <w:rsid w:val="0090330C"/>
    <w:rsid w:val="009039EF"/>
    <w:rsid w:val="00903DC8"/>
    <w:rsid w:val="00904023"/>
    <w:rsid w:val="009042AD"/>
    <w:rsid w:val="00904B88"/>
    <w:rsid w:val="00904BA7"/>
    <w:rsid w:val="00904C89"/>
    <w:rsid w:val="00904D93"/>
    <w:rsid w:val="00904E6D"/>
    <w:rsid w:val="00904F31"/>
    <w:rsid w:val="00905333"/>
    <w:rsid w:val="009053AC"/>
    <w:rsid w:val="009055FC"/>
    <w:rsid w:val="00905833"/>
    <w:rsid w:val="0090584C"/>
    <w:rsid w:val="0090645C"/>
    <w:rsid w:val="00906948"/>
    <w:rsid w:val="00906B23"/>
    <w:rsid w:val="00906D18"/>
    <w:rsid w:val="00907184"/>
    <w:rsid w:val="0090745D"/>
    <w:rsid w:val="0090765A"/>
    <w:rsid w:val="00907BB0"/>
    <w:rsid w:val="00910553"/>
    <w:rsid w:val="00910734"/>
    <w:rsid w:val="00910A39"/>
    <w:rsid w:val="0091145C"/>
    <w:rsid w:val="0091148D"/>
    <w:rsid w:val="00911DD7"/>
    <w:rsid w:val="0091208F"/>
    <w:rsid w:val="009123E9"/>
    <w:rsid w:val="0091272D"/>
    <w:rsid w:val="00912C34"/>
    <w:rsid w:val="00912F40"/>
    <w:rsid w:val="00913561"/>
    <w:rsid w:val="009137B9"/>
    <w:rsid w:val="009139EC"/>
    <w:rsid w:val="00913BFA"/>
    <w:rsid w:val="00913E40"/>
    <w:rsid w:val="00913E5F"/>
    <w:rsid w:val="0091457B"/>
    <w:rsid w:val="009146D8"/>
    <w:rsid w:val="009147E3"/>
    <w:rsid w:val="00914DC3"/>
    <w:rsid w:val="009154D3"/>
    <w:rsid w:val="00915821"/>
    <w:rsid w:val="00915A05"/>
    <w:rsid w:val="00915F54"/>
    <w:rsid w:val="009165F1"/>
    <w:rsid w:val="009168DB"/>
    <w:rsid w:val="00916993"/>
    <w:rsid w:val="009169BE"/>
    <w:rsid w:val="00916F03"/>
    <w:rsid w:val="00916FAF"/>
    <w:rsid w:val="009170DD"/>
    <w:rsid w:val="0091716B"/>
    <w:rsid w:val="00917301"/>
    <w:rsid w:val="009177A4"/>
    <w:rsid w:val="00917FD2"/>
    <w:rsid w:val="009204F8"/>
    <w:rsid w:val="00920534"/>
    <w:rsid w:val="00920641"/>
    <w:rsid w:val="00920F80"/>
    <w:rsid w:val="009213B3"/>
    <w:rsid w:val="00921484"/>
    <w:rsid w:val="0092151B"/>
    <w:rsid w:val="0092174D"/>
    <w:rsid w:val="00921B35"/>
    <w:rsid w:val="00921B60"/>
    <w:rsid w:val="00921F05"/>
    <w:rsid w:val="00922A86"/>
    <w:rsid w:val="00922CB2"/>
    <w:rsid w:val="00922F69"/>
    <w:rsid w:val="00923300"/>
    <w:rsid w:val="00923562"/>
    <w:rsid w:val="00923917"/>
    <w:rsid w:val="009239E9"/>
    <w:rsid w:val="00923C11"/>
    <w:rsid w:val="00923D49"/>
    <w:rsid w:val="00923D4D"/>
    <w:rsid w:val="00923D82"/>
    <w:rsid w:val="00924144"/>
    <w:rsid w:val="009246F3"/>
    <w:rsid w:val="00924717"/>
    <w:rsid w:val="0092477D"/>
    <w:rsid w:val="00924849"/>
    <w:rsid w:val="00924915"/>
    <w:rsid w:val="00924974"/>
    <w:rsid w:val="009249E8"/>
    <w:rsid w:val="00924F40"/>
    <w:rsid w:val="0092549C"/>
    <w:rsid w:val="00925664"/>
    <w:rsid w:val="009256D9"/>
    <w:rsid w:val="00925B69"/>
    <w:rsid w:val="00925CAD"/>
    <w:rsid w:val="009260BA"/>
    <w:rsid w:val="009262AF"/>
    <w:rsid w:val="0092632B"/>
    <w:rsid w:val="00926353"/>
    <w:rsid w:val="00926595"/>
    <w:rsid w:val="00926991"/>
    <w:rsid w:val="00926F0A"/>
    <w:rsid w:val="00927194"/>
    <w:rsid w:val="0092752F"/>
    <w:rsid w:val="00927540"/>
    <w:rsid w:val="00927675"/>
    <w:rsid w:val="00927946"/>
    <w:rsid w:val="00927C99"/>
    <w:rsid w:val="00927D74"/>
    <w:rsid w:val="00927D88"/>
    <w:rsid w:val="00927F5B"/>
    <w:rsid w:val="00930730"/>
    <w:rsid w:val="0093085B"/>
    <w:rsid w:val="009309EA"/>
    <w:rsid w:val="00930C8D"/>
    <w:rsid w:val="00930DDE"/>
    <w:rsid w:val="00931B95"/>
    <w:rsid w:val="00931F6E"/>
    <w:rsid w:val="0093202B"/>
    <w:rsid w:val="009326F6"/>
    <w:rsid w:val="009332A8"/>
    <w:rsid w:val="0093384A"/>
    <w:rsid w:val="0093401A"/>
    <w:rsid w:val="0093403E"/>
    <w:rsid w:val="00934936"/>
    <w:rsid w:val="00934CE6"/>
    <w:rsid w:val="00934EDD"/>
    <w:rsid w:val="00934F3D"/>
    <w:rsid w:val="00935180"/>
    <w:rsid w:val="00935501"/>
    <w:rsid w:val="0093552F"/>
    <w:rsid w:val="00935955"/>
    <w:rsid w:val="00935963"/>
    <w:rsid w:val="00935C84"/>
    <w:rsid w:val="00936231"/>
    <w:rsid w:val="009362A8"/>
    <w:rsid w:val="00936493"/>
    <w:rsid w:val="00936786"/>
    <w:rsid w:val="00936ACB"/>
    <w:rsid w:val="00936ADA"/>
    <w:rsid w:val="00937457"/>
    <w:rsid w:val="009376E1"/>
    <w:rsid w:val="00937CA2"/>
    <w:rsid w:val="0094006D"/>
    <w:rsid w:val="009403AB"/>
    <w:rsid w:val="00940518"/>
    <w:rsid w:val="009406AB"/>
    <w:rsid w:val="009406C9"/>
    <w:rsid w:val="00940A0F"/>
    <w:rsid w:val="00940AC2"/>
    <w:rsid w:val="00940B82"/>
    <w:rsid w:val="009416F8"/>
    <w:rsid w:val="00941A52"/>
    <w:rsid w:val="009426EA"/>
    <w:rsid w:val="009427EB"/>
    <w:rsid w:val="00942941"/>
    <w:rsid w:val="00942A0A"/>
    <w:rsid w:val="00943978"/>
    <w:rsid w:val="009441C3"/>
    <w:rsid w:val="00944634"/>
    <w:rsid w:val="00944679"/>
    <w:rsid w:val="0094488E"/>
    <w:rsid w:val="00944C46"/>
    <w:rsid w:val="00944C78"/>
    <w:rsid w:val="00944F58"/>
    <w:rsid w:val="00945157"/>
    <w:rsid w:val="009453A5"/>
    <w:rsid w:val="009456F4"/>
    <w:rsid w:val="00945DB5"/>
    <w:rsid w:val="00946037"/>
    <w:rsid w:val="00946596"/>
    <w:rsid w:val="00946664"/>
    <w:rsid w:val="009468D3"/>
    <w:rsid w:val="00946B87"/>
    <w:rsid w:val="009473AD"/>
    <w:rsid w:val="0094766A"/>
    <w:rsid w:val="00947E25"/>
    <w:rsid w:val="00950245"/>
    <w:rsid w:val="009503A4"/>
    <w:rsid w:val="009507B2"/>
    <w:rsid w:val="00950F91"/>
    <w:rsid w:val="009512C1"/>
    <w:rsid w:val="0095172D"/>
    <w:rsid w:val="00951795"/>
    <w:rsid w:val="009517F3"/>
    <w:rsid w:val="00951861"/>
    <w:rsid w:val="00951911"/>
    <w:rsid w:val="00952115"/>
    <w:rsid w:val="009526BC"/>
    <w:rsid w:val="009526F1"/>
    <w:rsid w:val="00952A42"/>
    <w:rsid w:val="00952EF9"/>
    <w:rsid w:val="00953625"/>
    <w:rsid w:val="0095371E"/>
    <w:rsid w:val="0095377C"/>
    <w:rsid w:val="00953DAD"/>
    <w:rsid w:val="009541A5"/>
    <w:rsid w:val="0095426E"/>
    <w:rsid w:val="00954B1B"/>
    <w:rsid w:val="00954C5F"/>
    <w:rsid w:val="00954FC9"/>
    <w:rsid w:val="0095537E"/>
    <w:rsid w:val="009554CE"/>
    <w:rsid w:val="0095550D"/>
    <w:rsid w:val="00955760"/>
    <w:rsid w:val="009557E3"/>
    <w:rsid w:val="0095585B"/>
    <w:rsid w:val="00955FF1"/>
    <w:rsid w:val="0095602F"/>
    <w:rsid w:val="009562C5"/>
    <w:rsid w:val="0095674A"/>
    <w:rsid w:val="0095694D"/>
    <w:rsid w:val="009569D0"/>
    <w:rsid w:val="009569DB"/>
    <w:rsid w:val="0095718A"/>
    <w:rsid w:val="009574FA"/>
    <w:rsid w:val="009577A4"/>
    <w:rsid w:val="00957AE3"/>
    <w:rsid w:val="00957BFE"/>
    <w:rsid w:val="00957DE7"/>
    <w:rsid w:val="0096021F"/>
    <w:rsid w:val="0096024E"/>
    <w:rsid w:val="00960858"/>
    <w:rsid w:val="00960D44"/>
    <w:rsid w:val="009612AE"/>
    <w:rsid w:val="0096142F"/>
    <w:rsid w:val="009614D0"/>
    <w:rsid w:val="00961B98"/>
    <w:rsid w:val="00961BBA"/>
    <w:rsid w:val="00961C3C"/>
    <w:rsid w:val="009621A4"/>
    <w:rsid w:val="00962442"/>
    <w:rsid w:val="009624AF"/>
    <w:rsid w:val="009625BF"/>
    <w:rsid w:val="009626DE"/>
    <w:rsid w:val="009628D1"/>
    <w:rsid w:val="00962D2F"/>
    <w:rsid w:val="00962E07"/>
    <w:rsid w:val="00963024"/>
    <w:rsid w:val="009633AD"/>
    <w:rsid w:val="009633DD"/>
    <w:rsid w:val="009634AA"/>
    <w:rsid w:val="0096362D"/>
    <w:rsid w:val="00963AE9"/>
    <w:rsid w:val="00963B74"/>
    <w:rsid w:val="0096484D"/>
    <w:rsid w:val="00964FD1"/>
    <w:rsid w:val="009656E7"/>
    <w:rsid w:val="00965B91"/>
    <w:rsid w:val="00966129"/>
    <w:rsid w:val="00966382"/>
    <w:rsid w:val="009664AB"/>
    <w:rsid w:val="00966623"/>
    <w:rsid w:val="009666A4"/>
    <w:rsid w:val="00966D4A"/>
    <w:rsid w:val="00966DCE"/>
    <w:rsid w:val="00966E20"/>
    <w:rsid w:val="00967256"/>
    <w:rsid w:val="009679C9"/>
    <w:rsid w:val="00967A41"/>
    <w:rsid w:val="00967A69"/>
    <w:rsid w:val="009701FC"/>
    <w:rsid w:val="00970557"/>
    <w:rsid w:val="00970993"/>
    <w:rsid w:val="00970A7A"/>
    <w:rsid w:val="00970BBC"/>
    <w:rsid w:val="00970DB9"/>
    <w:rsid w:val="009710D8"/>
    <w:rsid w:val="009710F7"/>
    <w:rsid w:val="009711CC"/>
    <w:rsid w:val="0097139A"/>
    <w:rsid w:val="009714CF"/>
    <w:rsid w:val="0097152B"/>
    <w:rsid w:val="00971894"/>
    <w:rsid w:val="0097203E"/>
    <w:rsid w:val="009725AA"/>
    <w:rsid w:val="009725B5"/>
    <w:rsid w:val="009728C6"/>
    <w:rsid w:val="00972BD1"/>
    <w:rsid w:val="00972BFD"/>
    <w:rsid w:val="00972CAB"/>
    <w:rsid w:val="0097318D"/>
    <w:rsid w:val="00973277"/>
    <w:rsid w:val="00973D8F"/>
    <w:rsid w:val="00973F3D"/>
    <w:rsid w:val="0097410B"/>
    <w:rsid w:val="00974337"/>
    <w:rsid w:val="0097448C"/>
    <w:rsid w:val="00974AF2"/>
    <w:rsid w:val="00974E39"/>
    <w:rsid w:val="00974F38"/>
    <w:rsid w:val="009758BE"/>
    <w:rsid w:val="00975A7B"/>
    <w:rsid w:val="00975C35"/>
    <w:rsid w:val="00975E15"/>
    <w:rsid w:val="0097655F"/>
    <w:rsid w:val="009765D9"/>
    <w:rsid w:val="00976A69"/>
    <w:rsid w:val="00977036"/>
    <w:rsid w:val="00977213"/>
    <w:rsid w:val="00977256"/>
    <w:rsid w:val="00977404"/>
    <w:rsid w:val="0097753A"/>
    <w:rsid w:val="00977AF0"/>
    <w:rsid w:val="0098000D"/>
    <w:rsid w:val="0098006F"/>
    <w:rsid w:val="009801E8"/>
    <w:rsid w:val="00980525"/>
    <w:rsid w:val="00980679"/>
    <w:rsid w:val="00980716"/>
    <w:rsid w:val="00980942"/>
    <w:rsid w:val="00980A35"/>
    <w:rsid w:val="00980A86"/>
    <w:rsid w:val="00980B25"/>
    <w:rsid w:val="00980C6C"/>
    <w:rsid w:val="00980DD8"/>
    <w:rsid w:val="0098133B"/>
    <w:rsid w:val="009820FF"/>
    <w:rsid w:val="009824A8"/>
    <w:rsid w:val="00982B09"/>
    <w:rsid w:val="00983401"/>
    <w:rsid w:val="00983B31"/>
    <w:rsid w:val="00983DA6"/>
    <w:rsid w:val="0098429E"/>
    <w:rsid w:val="009843B9"/>
    <w:rsid w:val="00984C40"/>
    <w:rsid w:val="00984DF8"/>
    <w:rsid w:val="009856B4"/>
    <w:rsid w:val="00985BAD"/>
    <w:rsid w:val="00985D82"/>
    <w:rsid w:val="00986822"/>
    <w:rsid w:val="009870B8"/>
    <w:rsid w:val="009871EA"/>
    <w:rsid w:val="009871F3"/>
    <w:rsid w:val="0098729E"/>
    <w:rsid w:val="0098753D"/>
    <w:rsid w:val="009876AD"/>
    <w:rsid w:val="00987D35"/>
    <w:rsid w:val="00990086"/>
    <w:rsid w:val="009900DE"/>
    <w:rsid w:val="00990533"/>
    <w:rsid w:val="00990610"/>
    <w:rsid w:val="009906E8"/>
    <w:rsid w:val="00990952"/>
    <w:rsid w:val="00990DD8"/>
    <w:rsid w:val="009912E1"/>
    <w:rsid w:val="009913B8"/>
    <w:rsid w:val="00992624"/>
    <w:rsid w:val="00992E40"/>
    <w:rsid w:val="009930A5"/>
    <w:rsid w:val="00993465"/>
    <w:rsid w:val="00993C0A"/>
    <w:rsid w:val="00993CEC"/>
    <w:rsid w:val="00993F9D"/>
    <w:rsid w:val="00994182"/>
    <w:rsid w:val="0099424C"/>
    <w:rsid w:val="009943FF"/>
    <w:rsid w:val="009945FD"/>
    <w:rsid w:val="00994B90"/>
    <w:rsid w:val="00994D76"/>
    <w:rsid w:val="00994EB7"/>
    <w:rsid w:val="009951DC"/>
    <w:rsid w:val="00995428"/>
    <w:rsid w:val="00995887"/>
    <w:rsid w:val="00995A05"/>
    <w:rsid w:val="00995B35"/>
    <w:rsid w:val="00995F98"/>
    <w:rsid w:val="009960C6"/>
    <w:rsid w:val="00996143"/>
    <w:rsid w:val="009962AB"/>
    <w:rsid w:val="0099638C"/>
    <w:rsid w:val="0099693C"/>
    <w:rsid w:val="00996C88"/>
    <w:rsid w:val="00996E89"/>
    <w:rsid w:val="00996E94"/>
    <w:rsid w:val="0099716E"/>
    <w:rsid w:val="009A021E"/>
    <w:rsid w:val="009A0237"/>
    <w:rsid w:val="009A04D4"/>
    <w:rsid w:val="009A0611"/>
    <w:rsid w:val="009A06BB"/>
    <w:rsid w:val="009A0B7F"/>
    <w:rsid w:val="009A0E09"/>
    <w:rsid w:val="009A0F7D"/>
    <w:rsid w:val="009A0FE0"/>
    <w:rsid w:val="009A112F"/>
    <w:rsid w:val="009A150A"/>
    <w:rsid w:val="009A1C5D"/>
    <w:rsid w:val="009A1C89"/>
    <w:rsid w:val="009A1D2B"/>
    <w:rsid w:val="009A23A3"/>
    <w:rsid w:val="009A25C4"/>
    <w:rsid w:val="009A2903"/>
    <w:rsid w:val="009A2946"/>
    <w:rsid w:val="009A29BF"/>
    <w:rsid w:val="009A33AD"/>
    <w:rsid w:val="009A34AB"/>
    <w:rsid w:val="009A350D"/>
    <w:rsid w:val="009A364F"/>
    <w:rsid w:val="009A3811"/>
    <w:rsid w:val="009A3AAA"/>
    <w:rsid w:val="009A3DC4"/>
    <w:rsid w:val="009A42B5"/>
    <w:rsid w:val="009A42E4"/>
    <w:rsid w:val="009A43A3"/>
    <w:rsid w:val="009A495E"/>
    <w:rsid w:val="009A4C0C"/>
    <w:rsid w:val="009A4C0E"/>
    <w:rsid w:val="009A4D77"/>
    <w:rsid w:val="009A51B1"/>
    <w:rsid w:val="009A5736"/>
    <w:rsid w:val="009A5A57"/>
    <w:rsid w:val="009A5EA1"/>
    <w:rsid w:val="009A69E6"/>
    <w:rsid w:val="009A6DA1"/>
    <w:rsid w:val="009A7178"/>
    <w:rsid w:val="009A74D6"/>
    <w:rsid w:val="009A7778"/>
    <w:rsid w:val="009B0239"/>
    <w:rsid w:val="009B023D"/>
    <w:rsid w:val="009B04FA"/>
    <w:rsid w:val="009B0D02"/>
    <w:rsid w:val="009B2003"/>
    <w:rsid w:val="009B2246"/>
    <w:rsid w:val="009B2308"/>
    <w:rsid w:val="009B2693"/>
    <w:rsid w:val="009B27CA"/>
    <w:rsid w:val="009B2FA5"/>
    <w:rsid w:val="009B300D"/>
    <w:rsid w:val="009B366F"/>
    <w:rsid w:val="009B3883"/>
    <w:rsid w:val="009B3ADC"/>
    <w:rsid w:val="009B3B85"/>
    <w:rsid w:val="009B3F21"/>
    <w:rsid w:val="009B439B"/>
    <w:rsid w:val="009B465E"/>
    <w:rsid w:val="009B4D30"/>
    <w:rsid w:val="009B52E0"/>
    <w:rsid w:val="009B54CF"/>
    <w:rsid w:val="009B5501"/>
    <w:rsid w:val="009B61E3"/>
    <w:rsid w:val="009B6442"/>
    <w:rsid w:val="009B6935"/>
    <w:rsid w:val="009B7507"/>
    <w:rsid w:val="009B76E8"/>
    <w:rsid w:val="009B7C24"/>
    <w:rsid w:val="009B7D96"/>
    <w:rsid w:val="009C02E6"/>
    <w:rsid w:val="009C047A"/>
    <w:rsid w:val="009C08ED"/>
    <w:rsid w:val="009C1328"/>
    <w:rsid w:val="009C13D7"/>
    <w:rsid w:val="009C1588"/>
    <w:rsid w:val="009C1649"/>
    <w:rsid w:val="009C1660"/>
    <w:rsid w:val="009C17FC"/>
    <w:rsid w:val="009C1E11"/>
    <w:rsid w:val="009C20C5"/>
    <w:rsid w:val="009C2B7C"/>
    <w:rsid w:val="009C2FC4"/>
    <w:rsid w:val="009C3023"/>
    <w:rsid w:val="009C30F8"/>
    <w:rsid w:val="009C319A"/>
    <w:rsid w:val="009C354D"/>
    <w:rsid w:val="009C3719"/>
    <w:rsid w:val="009C37CF"/>
    <w:rsid w:val="009C3A73"/>
    <w:rsid w:val="009C3BEC"/>
    <w:rsid w:val="009C40B5"/>
    <w:rsid w:val="009C40B7"/>
    <w:rsid w:val="009C4901"/>
    <w:rsid w:val="009C5233"/>
    <w:rsid w:val="009C5DBD"/>
    <w:rsid w:val="009C6195"/>
    <w:rsid w:val="009C6394"/>
    <w:rsid w:val="009C65B6"/>
    <w:rsid w:val="009C68BB"/>
    <w:rsid w:val="009C6A53"/>
    <w:rsid w:val="009C6A63"/>
    <w:rsid w:val="009C70D2"/>
    <w:rsid w:val="009C7989"/>
    <w:rsid w:val="009D05E0"/>
    <w:rsid w:val="009D0966"/>
    <w:rsid w:val="009D0A93"/>
    <w:rsid w:val="009D0B97"/>
    <w:rsid w:val="009D17F3"/>
    <w:rsid w:val="009D197D"/>
    <w:rsid w:val="009D1ACB"/>
    <w:rsid w:val="009D1B23"/>
    <w:rsid w:val="009D1E66"/>
    <w:rsid w:val="009D1FB3"/>
    <w:rsid w:val="009D2573"/>
    <w:rsid w:val="009D2EF3"/>
    <w:rsid w:val="009D31A0"/>
    <w:rsid w:val="009D35A4"/>
    <w:rsid w:val="009D3717"/>
    <w:rsid w:val="009D389E"/>
    <w:rsid w:val="009D3B94"/>
    <w:rsid w:val="009D3BD9"/>
    <w:rsid w:val="009D3E16"/>
    <w:rsid w:val="009D4157"/>
    <w:rsid w:val="009D4285"/>
    <w:rsid w:val="009D42A1"/>
    <w:rsid w:val="009D455D"/>
    <w:rsid w:val="009D4904"/>
    <w:rsid w:val="009D4BAE"/>
    <w:rsid w:val="009D570D"/>
    <w:rsid w:val="009D5737"/>
    <w:rsid w:val="009D58A8"/>
    <w:rsid w:val="009D5D86"/>
    <w:rsid w:val="009D5F1D"/>
    <w:rsid w:val="009D61A6"/>
    <w:rsid w:val="009D625A"/>
    <w:rsid w:val="009D6A51"/>
    <w:rsid w:val="009D6AAD"/>
    <w:rsid w:val="009D6D8D"/>
    <w:rsid w:val="009D6FB3"/>
    <w:rsid w:val="009D6FD2"/>
    <w:rsid w:val="009D714B"/>
    <w:rsid w:val="009D7630"/>
    <w:rsid w:val="009D76CF"/>
    <w:rsid w:val="009D7851"/>
    <w:rsid w:val="009D78EC"/>
    <w:rsid w:val="009D7925"/>
    <w:rsid w:val="009E019E"/>
    <w:rsid w:val="009E0257"/>
    <w:rsid w:val="009E094B"/>
    <w:rsid w:val="009E09B5"/>
    <w:rsid w:val="009E0BFB"/>
    <w:rsid w:val="009E100D"/>
    <w:rsid w:val="009E14D9"/>
    <w:rsid w:val="009E21EC"/>
    <w:rsid w:val="009E2260"/>
    <w:rsid w:val="009E26E3"/>
    <w:rsid w:val="009E27AF"/>
    <w:rsid w:val="009E2804"/>
    <w:rsid w:val="009E2880"/>
    <w:rsid w:val="009E2AE6"/>
    <w:rsid w:val="009E2BEC"/>
    <w:rsid w:val="009E3AFB"/>
    <w:rsid w:val="009E3BA1"/>
    <w:rsid w:val="009E3DB5"/>
    <w:rsid w:val="009E414E"/>
    <w:rsid w:val="009E42CB"/>
    <w:rsid w:val="009E4536"/>
    <w:rsid w:val="009E4887"/>
    <w:rsid w:val="009E498B"/>
    <w:rsid w:val="009E4BBA"/>
    <w:rsid w:val="009E592B"/>
    <w:rsid w:val="009E5B12"/>
    <w:rsid w:val="009E5BDC"/>
    <w:rsid w:val="009E5E4B"/>
    <w:rsid w:val="009E5EFB"/>
    <w:rsid w:val="009E6462"/>
    <w:rsid w:val="009E68B3"/>
    <w:rsid w:val="009E6D02"/>
    <w:rsid w:val="009E7539"/>
    <w:rsid w:val="009E7B72"/>
    <w:rsid w:val="009E7E4E"/>
    <w:rsid w:val="009E7EAB"/>
    <w:rsid w:val="009E7F39"/>
    <w:rsid w:val="009F006A"/>
    <w:rsid w:val="009F03B7"/>
    <w:rsid w:val="009F0656"/>
    <w:rsid w:val="009F088E"/>
    <w:rsid w:val="009F0E41"/>
    <w:rsid w:val="009F1248"/>
    <w:rsid w:val="009F1281"/>
    <w:rsid w:val="009F13AB"/>
    <w:rsid w:val="009F13CA"/>
    <w:rsid w:val="009F1727"/>
    <w:rsid w:val="009F1779"/>
    <w:rsid w:val="009F1ECA"/>
    <w:rsid w:val="009F1FDF"/>
    <w:rsid w:val="009F24C8"/>
    <w:rsid w:val="009F26EF"/>
    <w:rsid w:val="009F27CA"/>
    <w:rsid w:val="009F2B1F"/>
    <w:rsid w:val="009F2D92"/>
    <w:rsid w:val="009F2DF9"/>
    <w:rsid w:val="009F2EEC"/>
    <w:rsid w:val="009F331C"/>
    <w:rsid w:val="009F332D"/>
    <w:rsid w:val="009F397C"/>
    <w:rsid w:val="009F3C4C"/>
    <w:rsid w:val="009F425C"/>
    <w:rsid w:val="009F45EF"/>
    <w:rsid w:val="009F4A5C"/>
    <w:rsid w:val="009F4A79"/>
    <w:rsid w:val="009F4C1A"/>
    <w:rsid w:val="009F4E69"/>
    <w:rsid w:val="009F4EB8"/>
    <w:rsid w:val="009F5117"/>
    <w:rsid w:val="009F56F7"/>
    <w:rsid w:val="009F57D8"/>
    <w:rsid w:val="009F59DA"/>
    <w:rsid w:val="009F6020"/>
    <w:rsid w:val="009F67C9"/>
    <w:rsid w:val="009F6DA5"/>
    <w:rsid w:val="009F6E84"/>
    <w:rsid w:val="009F746A"/>
    <w:rsid w:val="009F7588"/>
    <w:rsid w:val="009F78AD"/>
    <w:rsid w:val="009F7A23"/>
    <w:rsid w:val="009F7B8E"/>
    <w:rsid w:val="009F7E2B"/>
    <w:rsid w:val="009F7FB4"/>
    <w:rsid w:val="00A00388"/>
    <w:rsid w:val="00A0058B"/>
    <w:rsid w:val="00A00868"/>
    <w:rsid w:val="00A00C49"/>
    <w:rsid w:val="00A00CF7"/>
    <w:rsid w:val="00A01832"/>
    <w:rsid w:val="00A01923"/>
    <w:rsid w:val="00A01BD8"/>
    <w:rsid w:val="00A01C97"/>
    <w:rsid w:val="00A02022"/>
    <w:rsid w:val="00A024FE"/>
    <w:rsid w:val="00A029F1"/>
    <w:rsid w:val="00A031E2"/>
    <w:rsid w:val="00A03570"/>
    <w:rsid w:val="00A037CA"/>
    <w:rsid w:val="00A04160"/>
    <w:rsid w:val="00A041E5"/>
    <w:rsid w:val="00A047E1"/>
    <w:rsid w:val="00A04D85"/>
    <w:rsid w:val="00A05020"/>
    <w:rsid w:val="00A054FA"/>
    <w:rsid w:val="00A05547"/>
    <w:rsid w:val="00A05F5D"/>
    <w:rsid w:val="00A06010"/>
    <w:rsid w:val="00A062FC"/>
    <w:rsid w:val="00A06327"/>
    <w:rsid w:val="00A0670C"/>
    <w:rsid w:val="00A06ACB"/>
    <w:rsid w:val="00A06C44"/>
    <w:rsid w:val="00A07374"/>
    <w:rsid w:val="00A073B2"/>
    <w:rsid w:val="00A077A0"/>
    <w:rsid w:val="00A07EE9"/>
    <w:rsid w:val="00A10646"/>
    <w:rsid w:val="00A107E1"/>
    <w:rsid w:val="00A10DDA"/>
    <w:rsid w:val="00A10E78"/>
    <w:rsid w:val="00A11020"/>
    <w:rsid w:val="00A1175B"/>
    <w:rsid w:val="00A11818"/>
    <w:rsid w:val="00A11EAB"/>
    <w:rsid w:val="00A1240E"/>
    <w:rsid w:val="00A129BC"/>
    <w:rsid w:val="00A12C3A"/>
    <w:rsid w:val="00A134A4"/>
    <w:rsid w:val="00A13F78"/>
    <w:rsid w:val="00A14015"/>
    <w:rsid w:val="00A1440D"/>
    <w:rsid w:val="00A1457A"/>
    <w:rsid w:val="00A14E69"/>
    <w:rsid w:val="00A1508B"/>
    <w:rsid w:val="00A150CE"/>
    <w:rsid w:val="00A1544C"/>
    <w:rsid w:val="00A15485"/>
    <w:rsid w:val="00A15D29"/>
    <w:rsid w:val="00A166D9"/>
    <w:rsid w:val="00A16759"/>
    <w:rsid w:val="00A16B05"/>
    <w:rsid w:val="00A16C22"/>
    <w:rsid w:val="00A16D1E"/>
    <w:rsid w:val="00A17069"/>
    <w:rsid w:val="00A171BA"/>
    <w:rsid w:val="00A17274"/>
    <w:rsid w:val="00A17297"/>
    <w:rsid w:val="00A174C4"/>
    <w:rsid w:val="00A17841"/>
    <w:rsid w:val="00A17869"/>
    <w:rsid w:val="00A17A2F"/>
    <w:rsid w:val="00A17AE9"/>
    <w:rsid w:val="00A20703"/>
    <w:rsid w:val="00A20C88"/>
    <w:rsid w:val="00A217B4"/>
    <w:rsid w:val="00A21D18"/>
    <w:rsid w:val="00A21D71"/>
    <w:rsid w:val="00A21E42"/>
    <w:rsid w:val="00A21F3D"/>
    <w:rsid w:val="00A22054"/>
    <w:rsid w:val="00A2206B"/>
    <w:rsid w:val="00A22181"/>
    <w:rsid w:val="00A239A4"/>
    <w:rsid w:val="00A23BA9"/>
    <w:rsid w:val="00A23CB3"/>
    <w:rsid w:val="00A23DC6"/>
    <w:rsid w:val="00A247F0"/>
    <w:rsid w:val="00A247FC"/>
    <w:rsid w:val="00A2491E"/>
    <w:rsid w:val="00A24D3A"/>
    <w:rsid w:val="00A252E9"/>
    <w:rsid w:val="00A256E0"/>
    <w:rsid w:val="00A25D5A"/>
    <w:rsid w:val="00A25DEF"/>
    <w:rsid w:val="00A26281"/>
    <w:rsid w:val="00A262AE"/>
    <w:rsid w:val="00A263F8"/>
    <w:rsid w:val="00A2640C"/>
    <w:rsid w:val="00A264C4"/>
    <w:rsid w:val="00A2655E"/>
    <w:rsid w:val="00A26884"/>
    <w:rsid w:val="00A26931"/>
    <w:rsid w:val="00A27489"/>
    <w:rsid w:val="00A275FF"/>
    <w:rsid w:val="00A27688"/>
    <w:rsid w:val="00A278C6"/>
    <w:rsid w:val="00A27A19"/>
    <w:rsid w:val="00A27A66"/>
    <w:rsid w:val="00A27FD7"/>
    <w:rsid w:val="00A30475"/>
    <w:rsid w:val="00A3086C"/>
    <w:rsid w:val="00A30BFD"/>
    <w:rsid w:val="00A30FB8"/>
    <w:rsid w:val="00A310B7"/>
    <w:rsid w:val="00A313F3"/>
    <w:rsid w:val="00A3175C"/>
    <w:rsid w:val="00A318BA"/>
    <w:rsid w:val="00A31ABC"/>
    <w:rsid w:val="00A31C3C"/>
    <w:rsid w:val="00A31DCA"/>
    <w:rsid w:val="00A324C0"/>
    <w:rsid w:val="00A32FC8"/>
    <w:rsid w:val="00A3305C"/>
    <w:rsid w:val="00A334EF"/>
    <w:rsid w:val="00A334F5"/>
    <w:rsid w:val="00A33502"/>
    <w:rsid w:val="00A33638"/>
    <w:rsid w:val="00A338DC"/>
    <w:rsid w:val="00A33B51"/>
    <w:rsid w:val="00A33EC5"/>
    <w:rsid w:val="00A33F75"/>
    <w:rsid w:val="00A341AF"/>
    <w:rsid w:val="00A34305"/>
    <w:rsid w:val="00A34526"/>
    <w:rsid w:val="00A3456F"/>
    <w:rsid w:val="00A3488D"/>
    <w:rsid w:val="00A34BBA"/>
    <w:rsid w:val="00A34CF4"/>
    <w:rsid w:val="00A34E6B"/>
    <w:rsid w:val="00A34FAB"/>
    <w:rsid w:val="00A352C6"/>
    <w:rsid w:val="00A35427"/>
    <w:rsid w:val="00A354DF"/>
    <w:rsid w:val="00A35A7B"/>
    <w:rsid w:val="00A35E6A"/>
    <w:rsid w:val="00A36187"/>
    <w:rsid w:val="00A362D0"/>
    <w:rsid w:val="00A36303"/>
    <w:rsid w:val="00A3642E"/>
    <w:rsid w:val="00A364A6"/>
    <w:rsid w:val="00A36574"/>
    <w:rsid w:val="00A36661"/>
    <w:rsid w:val="00A36662"/>
    <w:rsid w:val="00A36B05"/>
    <w:rsid w:val="00A36CDC"/>
    <w:rsid w:val="00A37498"/>
    <w:rsid w:val="00A37866"/>
    <w:rsid w:val="00A37E69"/>
    <w:rsid w:val="00A37EBB"/>
    <w:rsid w:val="00A37F57"/>
    <w:rsid w:val="00A4028E"/>
    <w:rsid w:val="00A40602"/>
    <w:rsid w:val="00A40661"/>
    <w:rsid w:val="00A4090E"/>
    <w:rsid w:val="00A4091F"/>
    <w:rsid w:val="00A40B8A"/>
    <w:rsid w:val="00A40D7C"/>
    <w:rsid w:val="00A40F4B"/>
    <w:rsid w:val="00A41065"/>
    <w:rsid w:val="00A41519"/>
    <w:rsid w:val="00A41589"/>
    <w:rsid w:val="00A4164D"/>
    <w:rsid w:val="00A4176A"/>
    <w:rsid w:val="00A422F6"/>
    <w:rsid w:val="00A4232B"/>
    <w:rsid w:val="00A4239F"/>
    <w:rsid w:val="00A425AC"/>
    <w:rsid w:val="00A42646"/>
    <w:rsid w:val="00A42D47"/>
    <w:rsid w:val="00A42D48"/>
    <w:rsid w:val="00A43360"/>
    <w:rsid w:val="00A433AC"/>
    <w:rsid w:val="00A43737"/>
    <w:rsid w:val="00A439E1"/>
    <w:rsid w:val="00A43AF4"/>
    <w:rsid w:val="00A43F2D"/>
    <w:rsid w:val="00A4401C"/>
    <w:rsid w:val="00A44544"/>
    <w:rsid w:val="00A44677"/>
    <w:rsid w:val="00A44ABE"/>
    <w:rsid w:val="00A44D3C"/>
    <w:rsid w:val="00A4500F"/>
    <w:rsid w:val="00A45194"/>
    <w:rsid w:val="00A455A5"/>
    <w:rsid w:val="00A45C1E"/>
    <w:rsid w:val="00A45C2F"/>
    <w:rsid w:val="00A4663C"/>
    <w:rsid w:val="00A46886"/>
    <w:rsid w:val="00A46B9B"/>
    <w:rsid w:val="00A46DAB"/>
    <w:rsid w:val="00A472E1"/>
    <w:rsid w:val="00A477A5"/>
    <w:rsid w:val="00A47CD7"/>
    <w:rsid w:val="00A47F69"/>
    <w:rsid w:val="00A501AE"/>
    <w:rsid w:val="00A50266"/>
    <w:rsid w:val="00A5034E"/>
    <w:rsid w:val="00A5040E"/>
    <w:rsid w:val="00A50CF2"/>
    <w:rsid w:val="00A51097"/>
    <w:rsid w:val="00A51577"/>
    <w:rsid w:val="00A51962"/>
    <w:rsid w:val="00A51E4C"/>
    <w:rsid w:val="00A51EF5"/>
    <w:rsid w:val="00A523F1"/>
    <w:rsid w:val="00A52491"/>
    <w:rsid w:val="00A5261A"/>
    <w:rsid w:val="00A52F74"/>
    <w:rsid w:val="00A53480"/>
    <w:rsid w:val="00A534E5"/>
    <w:rsid w:val="00A53537"/>
    <w:rsid w:val="00A5361C"/>
    <w:rsid w:val="00A5376B"/>
    <w:rsid w:val="00A53BAD"/>
    <w:rsid w:val="00A5426B"/>
    <w:rsid w:val="00A5438E"/>
    <w:rsid w:val="00A54493"/>
    <w:rsid w:val="00A548AB"/>
    <w:rsid w:val="00A5498A"/>
    <w:rsid w:val="00A54B09"/>
    <w:rsid w:val="00A54B1B"/>
    <w:rsid w:val="00A54F64"/>
    <w:rsid w:val="00A55192"/>
    <w:rsid w:val="00A5531B"/>
    <w:rsid w:val="00A55476"/>
    <w:rsid w:val="00A555DB"/>
    <w:rsid w:val="00A55EEC"/>
    <w:rsid w:val="00A56884"/>
    <w:rsid w:val="00A56BFE"/>
    <w:rsid w:val="00A5703A"/>
    <w:rsid w:val="00A5752D"/>
    <w:rsid w:val="00A5781B"/>
    <w:rsid w:val="00A6036F"/>
    <w:rsid w:val="00A6063B"/>
    <w:rsid w:val="00A60768"/>
    <w:rsid w:val="00A60815"/>
    <w:rsid w:val="00A608DB"/>
    <w:rsid w:val="00A6100A"/>
    <w:rsid w:val="00A61176"/>
    <w:rsid w:val="00A61479"/>
    <w:rsid w:val="00A614B4"/>
    <w:rsid w:val="00A6156E"/>
    <w:rsid w:val="00A616E8"/>
    <w:rsid w:val="00A61E59"/>
    <w:rsid w:val="00A61E8A"/>
    <w:rsid w:val="00A623B1"/>
    <w:rsid w:val="00A6251D"/>
    <w:rsid w:val="00A62DB5"/>
    <w:rsid w:val="00A63039"/>
    <w:rsid w:val="00A6311F"/>
    <w:rsid w:val="00A633CC"/>
    <w:rsid w:val="00A63920"/>
    <w:rsid w:val="00A63FA6"/>
    <w:rsid w:val="00A64062"/>
    <w:rsid w:val="00A640EA"/>
    <w:rsid w:val="00A6477A"/>
    <w:rsid w:val="00A64A15"/>
    <w:rsid w:val="00A64D4E"/>
    <w:rsid w:val="00A64E4C"/>
    <w:rsid w:val="00A64EE7"/>
    <w:rsid w:val="00A655EB"/>
    <w:rsid w:val="00A65673"/>
    <w:rsid w:val="00A66033"/>
    <w:rsid w:val="00A6615A"/>
    <w:rsid w:val="00A669DA"/>
    <w:rsid w:val="00A67E42"/>
    <w:rsid w:val="00A70471"/>
    <w:rsid w:val="00A70619"/>
    <w:rsid w:val="00A706D3"/>
    <w:rsid w:val="00A70D0F"/>
    <w:rsid w:val="00A70FE9"/>
    <w:rsid w:val="00A71022"/>
    <w:rsid w:val="00A71650"/>
    <w:rsid w:val="00A71669"/>
    <w:rsid w:val="00A71ECF"/>
    <w:rsid w:val="00A720E6"/>
    <w:rsid w:val="00A7222A"/>
    <w:rsid w:val="00A7256F"/>
    <w:rsid w:val="00A729C5"/>
    <w:rsid w:val="00A72D0D"/>
    <w:rsid w:val="00A73056"/>
    <w:rsid w:val="00A738D2"/>
    <w:rsid w:val="00A73BB3"/>
    <w:rsid w:val="00A73C49"/>
    <w:rsid w:val="00A741AE"/>
    <w:rsid w:val="00A74529"/>
    <w:rsid w:val="00A74767"/>
    <w:rsid w:val="00A7479A"/>
    <w:rsid w:val="00A74D29"/>
    <w:rsid w:val="00A74FCF"/>
    <w:rsid w:val="00A75114"/>
    <w:rsid w:val="00A751F9"/>
    <w:rsid w:val="00A7536F"/>
    <w:rsid w:val="00A75432"/>
    <w:rsid w:val="00A75475"/>
    <w:rsid w:val="00A7547D"/>
    <w:rsid w:val="00A757FA"/>
    <w:rsid w:val="00A75F90"/>
    <w:rsid w:val="00A76A8B"/>
    <w:rsid w:val="00A76C34"/>
    <w:rsid w:val="00A76E9F"/>
    <w:rsid w:val="00A773D8"/>
    <w:rsid w:val="00A7793F"/>
    <w:rsid w:val="00A77E73"/>
    <w:rsid w:val="00A77F78"/>
    <w:rsid w:val="00A807B3"/>
    <w:rsid w:val="00A80884"/>
    <w:rsid w:val="00A808C1"/>
    <w:rsid w:val="00A80DE0"/>
    <w:rsid w:val="00A81696"/>
    <w:rsid w:val="00A81A12"/>
    <w:rsid w:val="00A81F83"/>
    <w:rsid w:val="00A823B9"/>
    <w:rsid w:val="00A82454"/>
    <w:rsid w:val="00A82867"/>
    <w:rsid w:val="00A82F11"/>
    <w:rsid w:val="00A82F43"/>
    <w:rsid w:val="00A83167"/>
    <w:rsid w:val="00A8322C"/>
    <w:rsid w:val="00A8346F"/>
    <w:rsid w:val="00A836D9"/>
    <w:rsid w:val="00A837A5"/>
    <w:rsid w:val="00A83BF1"/>
    <w:rsid w:val="00A83CE5"/>
    <w:rsid w:val="00A83E2A"/>
    <w:rsid w:val="00A8401E"/>
    <w:rsid w:val="00A84230"/>
    <w:rsid w:val="00A84DF0"/>
    <w:rsid w:val="00A8503B"/>
    <w:rsid w:val="00A8530D"/>
    <w:rsid w:val="00A853EC"/>
    <w:rsid w:val="00A85624"/>
    <w:rsid w:val="00A856F8"/>
    <w:rsid w:val="00A85768"/>
    <w:rsid w:val="00A85D8F"/>
    <w:rsid w:val="00A86035"/>
    <w:rsid w:val="00A86367"/>
    <w:rsid w:val="00A86388"/>
    <w:rsid w:val="00A8658B"/>
    <w:rsid w:val="00A86774"/>
    <w:rsid w:val="00A867BF"/>
    <w:rsid w:val="00A868BA"/>
    <w:rsid w:val="00A86903"/>
    <w:rsid w:val="00A86BCB"/>
    <w:rsid w:val="00A86F4C"/>
    <w:rsid w:val="00A86F99"/>
    <w:rsid w:val="00A87A70"/>
    <w:rsid w:val="00A87BCE"/>
    <w:rsid w:val="00A87DD8"/>
    <w:rsid w:val="00A87F2A"/>
    <w:rsid w:val="00A9037A"/>
    <w:rsid w:val="00A904F0"/>
    <w:rsid w:val="00A90B59"/>
    <w:rsid w:val="00A90F96"/>
    <w:rsid w:val="00A91221"/>
    <w:rsid w:val="00A91530"/>
    <w:rsid w:val="00A915C6"/>
    <w:rsid w:val="00A91BCB"/>
    <w:rsid w:val="00A91BF7"/>
    <w:rsid w:val="00A91E00"/>
    <w:rsid w:val="00A924FB"/>
    <w:rsid w:val="00A92563"/>
    <w:rsid w:val="00A9257A"/>
    <w:rsid w:val="00A9275B"/>
    <w:rsid w:val="00A929EC"/>
    <w:rsid w:val="00A92DF2"/>
    <w:rsid w:val="00A92E22"/>
    <w:rsid w:val="00A9313F"/>
    <w:rsid w:val="00A93525"/>
    <w:rsid w:val="00A93865"/>
    <w:rsid w:val="00A9390D"/>
    <w:rsid w:val="00A93ACA"/>
    <w:rsid w:val="00A93B75"/>
    <w:rsid w:val="00A93D8A"/>
    <w:rsid w:val="00A93F8E"/>
    <w:rsid w:val="00A94052"/>
    <w:rsid w:val="00A9464E"/>
    <w:rsid w:val="00A94989"/>
    <w:rsid w:val="00A94C1F"/>
    <w:rsid w:val="00A94C4C"/>
    <w:rsid w:val="00A94FE0"/>
    <w:rsid w:val="00A94FFB"/>
    <w:rsid w:val="00A950D7"/>
    <w:rsid w:val="00A95C3B"/>
    <w:rsid w:val="00A95D73"/>
    <w:rsid w:val="00A96235"/>
    <w:rsid w:val="00A97141"/>
    <w:rsid w:val="00A97253"/>
    <w:rsid w:val="00A97692"/>
    <w:rsid w:val="00A977C8"/>
    <w:rsid w:val="00A97804"/>
    <w:rsid w:val="00A97AEA"/>
    <w:rsid w:val="00A97C18"/>
    <w:rsid w:val="00A97E89"/>
    <w:rsid w:val="00AA0019"/>
    <w:rsid w:val="00AA022B"/>
    <w:rsid w:val="00AA0A2A"/>
    <w:rsid w:val="00AA0A7A"/>
    <w:rsid w:val="00AA0B3F"/>
    <w:rsid w:val="00AA0CF4"/>
    <w:rsid w:val="00AA0EE1"/>
    <w:rsid w:val="00AA11AA"/>
    <w:rsid w:val="00AA127A"/>
    <w:rsid w:val="00AA133F"/>
    <w:rsid w:val="00AA1481"/>
    <w:rsid w:val="00AA14EE"/>
    <w:rsid w:val="00AA1817"/>
    <w:rsid w:val="00AA1B5B"/>
    <w:rsid w:val="00AA244B"/>
    <w:rsid w:val="00AA2666"/>
    <w:rsid w:val="00AA26E8"/>
    <w:rsid w:val="00AA2797"/>
    <w:rsid w:val="00AA2840"/>
    <w:rsid w:val="00AA33CC"/>
    <w:rsid w:val="00AA35F2"/>
    <w:rsid w:val="00AA3853"/>
    <w:rsid w:val="00AA410D"/>
    <w:rsid w:val="00AA411C"/>
    <w:rsid w:val="00AA457F"/>
    <w:rsid w:val="00AA4851"/>
    <w:rsid w:val="00AA48D1"/>
    <w:rsid w:val="00AA4947"/>
    <w:rsid w:val="00AA50DA"/>
    <w:rsid w:val="00AA540F"/>
    <w:rsid w:val="00AA55B5"/>
    <w:rsid w:val="00AA6076"/>
    <w:rsid w:val="00AA612B"/>
    <w:rsid w:val="00AA6590"/>
    <w:rsid w:val="00AA68D2"/>
    <w:rsid w:val="00AA69F5"/>
    <w:rsid w:val="00AA6A4E"/>
    <w:rsid w:val="00AA6C0C"/>
    <w:rsid w:val="00AA6D18"/>
    <w:rsid w:val="00AA71C7"/>
    <w:rsid w:val="00AA7203"/>
    <w:rsid w:val="00AA732C"/>
    <w:rsid w:val="00AA73F3"/>
    <w:rsid w:val="00AA7445"/>
    <w:rsid w:val="00AA757E"/>
    <w:rsid w:val="00AA7676"/>
    <w:rsid w:val="00AA77D4"/>
    <w:rsid w:val="00AA7826"/>
    <w:rsid w:val="00AA79DF"/>
    <w:rsid w:val="00AA7AF3"/>
    <w:rsid w:val="00AA7C61"/>
    <w:rsid w:val="00AB00AD"/>
    <w:rsid w:val="00AB0BD5"/>
    <w:rsid w:val="00AB1BF1"/>
    <w:rsid w:val="00AB1D3D"/>
    <w:rsid w:val="00AB1F8E"/>
    <w:rsid w:val="00AB1FB0"/>
    <w:rsid w:val="00AB2196"/>
    <w:rsid w:val="00AB269E"/>
    <w:rsid w:val="00AB2BCB"/>
    <w:rsid w:val="00AB2E90"/>
    <w:rsid w:val="00AB2EB7"/>
    <w:rsid w:val="00AB2F8D"/>
    <w:rsid w:val="00AB33A4"/>
    <w:rsid w:val="00AB33E2"/>
    <w:rsid w:val="00AB358D"/>
    <w:rsid w:val="00AB3EC3"/>
    <w:rsid w:val="00AB3FD9"/>
    <w:rsid w:val="00AB43EC"/>
    <w:rsid w:val="00AB47EA"/>
    <w:rsid w:val="00AB49E2"/>
    <w:rsid w:val="00AB4FFD"/>
    <w:rsid w:val="00AB51BD"/>
    <w:rsid w:val="00AB5488"/>
    <w:rsid w:val="00AB5E09"/>
    <w:rsid w:val="00AB5E36"/>
    <w:rsid w:val="00AB5F24"/>
    <w:rsid w:val="00AB628D"/>
    <w:rsid w:val="00AB67A3"/>
    <w:rsid w:val="00AB67C3"/>
    <w:rsid w:val="00AB6B20"/>
    <w:rsid w:val="00AB6DF1"/>
    <w:rsid w:val="00AB6E59"/>
    <w:rsid w:val="00AB74F5"/>
    <w:rsid w:val="00AB75A1"/>
    <w:rsid w:val="00AB75D7"/>
    <w:rsid w:val="00AB7810"/>
    <w:rsid w:val="00AB7B57"/>
    <w:rsid w:val="00AB7D18"/>
    <w:rsid w:val="00AC03D6"/>
    <w:rsid w:val="00AC05C0"/>
    <w:rsid w:val="00AC1375"/>
    <w:rsid w:val="00AC17C3"/>
    <w:rsid w:val="00AC197D"/>
    <w:rsid w:val="00AC1BB0"/>
    <w:rsid w:val="00AC1C1E"/>
    <w:rsid w:val="00AC247D"/>
    <w:rsid w:val="00AC2C3C"/>
    <w:rsid w:val="00AC2EC4"/>
    <w:rsid w:val="00AC2F29"/>
    <w:rsid w:val="00AC2F70"/>
    <w:rsid w:val="00AC3178"/>
    <w:rsid w:val="00AC35FE"/>
    <w:rsid w:val="00AC3609"/>
    <w:rsid w:val="00AC37DB"/>
    <w:rsid w:val="00AC383C"/>
    <w:rsid w:val="00AC4708"/>
    <w:rsid w:val="00AC47D5"/>
    <w:rsid w:val="00AC5027"/>
    <w:rsid w:val="00AC569E"/>
    <w:rsid w:val="00AC5A1D"/>
    <w:rsid w:val="00AC5AF4"/>
    <w:rsid w:val="00AC5FBD"/>
    <w:rsid w:val="00AC61F0"/>
    <w:rsid w:val="00AC6205"/>
    <w:rsid w:val="00AC636C"/>
    <w:rsid w:val="00AC639C"/>
    <w:rsid w:val="00AC691D"/>
    <w:rsid w:val="00AC6A53"/>
    <w:rsid w:val="00AC6E64"/>
    <w:rsid w:val="00AC701A"/>
    <w:rsid w:val="00AC7081"/>
    <w:rsid w:val="00AC716F"/>
    <w:rsid w:val="00AC7292"/>
    <w:rsid w:val="00AC7540"/>
    <w:rsid w:val="00AC7C21"/>
    <w:rsid w:val="00AD03A7"/>
    <w:rsid w:val="00AD0509"/>
    <w:rsid w:val="00AD0648"/>
    <w:rsid w:val="00AD06D5"/>
    <w:rsid w:val="00AD0844"/>
    <w:rsid w:val="00AD0932"/>
    <w:rsid w:val="00AD0A24"/>
    <w:rsid w:val="00AD0A62"/>
    <w:rsid w:val="00AD0AF0"/>
    <w:rsid w:val="00AD0D48"/>
    <w:rsid w:val="00AD10E2"/>
    <w:rsid w:val="00AD1B56"/>
    <w:rsid w:val="00AD1F62"/>
    <w:rsid w:val="00AD204F"/>
    <w:rsid w:val="00AD20D1"/>
    <w:rsid w:val="00AD2982"/>
    <w:rsid w:val="00AD2AD2"/>
    <w:rsid w:val="00AD2EF1"/>
    <w:rsid w:val="00AD341F"/>
    <w:rsid w:val="00AD35A1"/>
    <w:rsid w:val="00AD3B34"/>
    <w:rsid w:val="00AD3C47"/>
    <w:rsid w:val="00AD4274"/>
    <w:rsid w:val="00AD44CF"/>
    <w:rsid w:val="00AD47C2"/>
    <w:rsid w:val="00AD495A"/>
    <w:rsid w:val="00AD4C70"/>
    <w:rsid w:val="00AD4CDE"/>
    <w:rsid w:val="00AD4FAD"/>
    <w:rsid w:val="00AD515F"/>
    <w:rsid w:val="00AD58CE"/>
    <w:rsid w:val="00AD62B7"/>
    <w:rsid w:val="00AD62C3"/>
    <w:rsid w:val="00AD63AF"/>
    <w:rsid w:val="00AD63B6"/>
    <w:rsid w:val="00AD6606"/>
    <w:rsid w:val="00AD6712"/>
    <w:rsid w:val="00AD679E"/>
    <w:rsid w:val="00AD734E"/>
    <w:rsid w:val="00AD7361"/>
    <w:rsid w:val="00AD73C4"/>
    <w:rsid w:val="00AD745A"/>
    <w:rsid w:val="00AD7542"/>
    <w:rsid w:val="00AD75F6"/>
    <w:rsid w:val="00AD7605"/>
    <w:rsid w:val="00AE0107"/>
    <w:rsid w:val="00AE013C"/>
    <w:rsid w:val="00AE019C"/>
    <w:rsid w:val="00AE05E9"/>
    <w:rsid w:val="00AE0C6A"/>
    <w:rsid w:val="00AE0DDE"/>
    <w:rsid w:val="00AE0F2A"/>
    <w:rsid w:val="00AE1248"/>
    <w:rsid w:val="00AE1396"/>
    <w:rsid w:val="00AE16FF"/>
    <w:rsid w:val="00AE1D4E"/>
    <w:rsid w:val="00AE1E72"/>
    <w:rsid w:val="00AE1FC0"/>
    <w:rsid w:val="00AE2440"/>
    <w:rsid w:val="00AE294D"/>
    <w:rsid w:val="00AE2ACE"/>
    <w:rsid w:val="00AE330D"/>
    <w:rsid w:val="00AE35F6"/>
    <w:rsid w:val="00AE3778"/>
    <w:rsid w:val="00AE4055"/>
    <w:rsid w:val="00AE41A8"/>
    <w:rsid w:val="00AE41D8"/>
    <w:rsid w:val="00AE42C1"/>
    <w:rsid w:val="00AE4478"/>
    <w:rsid w:val="00AE44AA"/>
    <w:rsid w:val="00AE474C"/>
    <w:rsid w:val="00AE4A76"/>
    <w:rsid w:val="00AE4B39"/>
    <w:rsid w:val="00AE4BD2"/>
    <w:rsid w:val="00AE509E"/>
    <w:rsid w:val="00AE5337"/>
    <w:rsid w:val="00AE554B"/>
    <w:rsid w:val="00AE585D"/>
    <w:rsid w:val="00AE598E"/>
    <w:rsid w:val="00AE5AC1"/>
    <w:rsid w:val="00AE5BCC"/>
    <w:rsid w:val="00AE5E74"/>
    <w:rsid w:val="00AE61B1"/>
    <w:rsid w:val="00AE62D4"/>
    <w:rsid w:val="00AE62DD"/>
    <w:rsid w:val="00AE6503"/>
    <w:rsid w:val="00AE6945"/>
    <w:rsid w:val="00AE6DF4"/>
    <w:rsid w:val="00AE6F80"/>
    <w:rsid w:val="00AE7107"/>
    <w:rsid w:val="00AE7347"/>
    <w:rsid w:val="00AE74EB"/>
    <w:rsid w:val="00AE78A5"/>
    <w:rsid w:val="00AE7BA3"/>
    <w:rsid w:val="00AE7BFC"/>
    <w:rsid w:val="00AE7C53"/>
    <w:rsid w:val="00AE7E16"/>
    <w:rsid w:val="00AE7F83"/>
    <w:rsid w:val="00AF0F73"/>
    <w:rsid w:val="00AF0F9B"/>
    <w:rsid w:val="00AF1252"/>
    <w:rsid w:val="00AF126D"/>
    <w:rsid w:val="00AF145A"/>
    <w:rsid w:val="00AF1728"/>
    <w:rsid w:val="00AF17CD"/>
    <w:rsid w:val="00AF1B00"/>
    <w:rsid w:val="00AF1BE6"/>
    <w:rsid w:val="00AF2CD1"/>
    <w:rsid w:val="00AF2FA4"/>
    <w:rsid w:val="00AF31F1"/>
    <w:rsid w:val="00AF353F"/>
    <w:rsid w:val="00AF37FA"/>
    <w:rsid w:val="00AF39EE"/>
    <w:rsid w:val="00AF3A82"/>
    <w:rsid w:val="00AF3B38"/>
    <w:rsid w:val="00AF3EC7"/>
    <w:rsid w:val="00AF3ECC"/>
    <w:rsid w:val="00AF3FDD"/>
    <w:rsid w:val="00AF4277"/>
    <w:rsid w:val="00AF4296"/>
    <w:rsid w:val="00AF4342"/>
    <w:rsid w:val="00AF43F2"/>
    <w:rsid w:val="00AF463B"/>
    <w:rsid w:val="00AF483A"/>
    <w:rsid w:val="00AF49CD"/>
    <w:rsid w:val="00AF49EA"/>
    <w:rsid w:val="00AF4C63"/>
    <w:rsid w:val="00AF4CAF"/>
    <w:rsid w:val="00AF4FBF"/>
    <w:rsid w:val="00AF5C52"/>
    <w:rsid w:val="00AF5DC5"/>
    <w:rsid w:val="00AF5E45"/>
    <w:rsid w:val="00AF62FD"/>
    <w:rsid w:val="00AF65B9"/>
    <w:rsid w:val="00AF6782"/>
    <w:rsid w:val="00AF711D"/>
    <w:rsid w:val="00AF7306"/>
    <w:rsid w:val="00AF78E5"/>
    <w:rsid w:val="00B00BE8"/>
    <w:rsid w:val="00B00D7A"/>
    <w:rsid w:val="00B011E9"/>
    <w:rsid w:val="00B01ACA"/>
    <w:rsid w:val="00B01B1A"/>
    <w:rsid w:val="00B0200A"/>
    <w:rsid w:val="00B025CE"/>
    <w:rsid w:val="00B026BE"/>
    <w:rsid w:val="00B02A22"/>
    <w:rsid w:val="00B02BFA"/>
    <w:rsid w:val="00B02C0C"/>
    <w:rsid w:val="00B02D2F"/>
    <w:rsid w:val="00B03013"/>
    <w:rsid w:val="00B0320D"/>
    <w:rsid w:val="00B032D8"/>
    <w:rsid w:val="00B032DE"/>
    <w:rsid w:val="00B045E3"/>
    <w:rsid w:val="00B046A5"/>
    <w:rsid w:val="00B04A83"/>
    <w:rsid w:val="00B04AC5"/>
    <w:rsid w:val="00B04E70"/>
    <w:rsid w:val="00B051A7"/>
    <w:rsid w:val="00B0530F"/>
    <w:rsid w:val="00B05523"/>
    <w:rsid w:val="00B0557B"/>
    <w:rsid w:val="00B0563C"/>
    <w:rsid w:val="00B05718"/>
    <w:rsid w:val="00B0572C"/>
    <w:rsid w:val="00B0650E"/>
    <w:rsid w:val="00B06A51"/>
    <w:rsid w:val="00B07033"/>
    <w:rsid w:val="00B07553"/>
    <w:rsid w:val="00B07617"/>
    <w:rsid w:val="00B07B6B"/>
    <w:rsid w:val="00B07FB9"/>
    <w:rsid w:val="00B10085"/>
    <w:rsid w:val="00B10653"/>
    <w:rsid w:val="00B10765"/>
    <w:rsid w:val="00B10871"/>
    <w:rsid w:val="00B10C11"/>
    <w:rsid w:val="00B10CC4"/>
    <w:rsid w:val="00B10DAD"/>
    <w:rsid w:val="00B10EC2"/>
    <w:rsid w:val="00B11079"/>
    <w:rsid w:val="00B11867"/>
    <w:rsid w:val="00B1186E"/>
    <w:rsid w:val="00B118DF"/>
    <w:rsid w:val="00B11A11"/>
    <w:rsid w:val="00B11E4D"/>
    <w:rsid w:val="00B13186"/>
    <w:rsid w:val="00B13350"/>
    <w:rsid w:val="00B13676"/>
    <w:rsid w:val="00B13691"/>
    <w:rsid w:val="00B13B53"/>
    <w:rsid w:val="00B13CD8"/>
    <w:rsid w:val="00B145AF"/>
    <w:rsid w:val="00B14852"/>
    <w:rsid w:val="00B14B75"/>
    <w:rsid w:val="00B14B87"/>
    <w:rsid w:val="00B14F6A"/>
    <w:rsid w:val="00B151CA"/>
    <w:rsid w:val="00B15540"/>
    <w:rsid w:val="00B15F36"/>
    <w:rsid w:val="00B16184"/>
    <w:rsid w:val="00B165E4"/>
    <w:rsid w:val="00B16C67"/>
    <w:rsid w:val="00B16D66"/>
    <w:rsid w:val="00B17072"/>
    <w:rsid w:val="00B1709A"/>
    <w:rsid w:val="00B173B0"/>
    <w:rsid w:val="00B1771D"/>
    <w:rsid w:val="00B17780"/>
    <w:rsid w:val="00B17A1E"/>
    <w:rsid w:val="00B17A58"/>
    <w:rsid w:val="00B17C82"/>
    <w:rsid w:val="00B17D02"/>
    <w:rsid w:val="00B20310"/>
    <w:rsid w:val="00B205C6"/>
    <w:rsid w:val="00B2060A"/>
    <w:rsid w:val="00B2070E"/>
    <w:rsid w:val="00B20975"/>
    <w:rsid w:val="00B20C4B"/>
    <w:rsid w:val="00B20D49"/>
    <w:rsid w:val="00B20EB2"/>
    <w:rsid w:val="00B20FBC"/>
    <w:rsid w:val="00B21256"/>
    <w:rsid w:val="00B2188C"/>
    <w:rsid w:val="00B21989"/>
    <w:rsid w:val="00B22237"/>
    <w:rsid w:val="00B222FF"/>
    <w:rsid w:val="00B2297D"/>
    <w:rsid w:val="00B22E76"/>
    <w:rsid w:val="00B22FF5"/>
    <w:rsid w:val="00B23243"/>
    <w:rsid w:val="00B23314"/>
    <w:rsid w:val="00B2338A"/>
    <w:rsid w:val="00B235CB"/>
    <w:rsid w:val="00B23C33"/>
    <w:rsid w:val="00B23ECD"/>
    <w:rsid w:val="00B23F27"/>
    <w:rsid w:val="00B24183"/>
    <w:rsid w:val="00B241D4"/>
    <w:rsid w:val="00B242BD"/>
    <w:rsid w:val="00B244E6"/>
    <w:rsid w:val="00B24C62"/>
    <w:rsid w:val="00B24E4B"/>
    <w:rsid w:val="00B24FFA"/>
    <w:rsid w:val="00B2593F"/>
    <w:rsid w:val="00B25D96"/>
    <w:rsid w:val="00B261BB"/>
    <w:rsid w:val="00B262FF"/>
    <w:rsid w:val="00B26420"/>
    <w:rsid w:val="00B267EF"/>
    <w:rsid w:val="00B26AF2"/>
    <w:rsid w:val="00B26D02"/>
    <w:rsid w:val="00B26D13"/>
    <w:rsid w:val="00B270D6"/>
    <w:rsid w:val="00B271D6"/>
    <w:rsid w:val="00B271E5"/>
    <w:rsid w:val="00B2756E"/>
    <w:rsid w:val="00B2780C"/>
    <w:rsid w:val="00B279AE"/>
    <w:rsid w:val="00B27AB4"/>
    <w:rsid w:val="00B27E38"/>
    <w:rsid w:val="00B27FD8"/>
    <w:rsid w:val="00B30031"/>
    <w:rsid w:val="00B300D9"/>
    <w:rsid w:val="00B302D0"/>
    <w:rsid w:val="00B30572"/>
    <w:rsid w:val="00B30622"/>
    <w:rsid w:val="00B307B2"/>
    <w:rsid w:val="00B30800"/>
    <w:rsid w:val="00B30B46"/>
    <w:rsid w:val="00B317D1"/>
    <w:rsid w:val="00B31B51"/>
    <w:rsid w:val="00B31CF3"/>
    <w:rsid w:val="00B31E0C"/>
    <w:rsid w:val="00B31E85"/>
    <w:rsid w:val="00B31F6D"/>
    <w:rsid w:val="00B31FFF"/>
    <w:rsid w:val="00B327BD"/>
    <w:rsid w:val="00B33452"/>
    <w:rsid w:val="00B337CF"/>
    <w:rsid w:val="00B33C2B"/>
    <w:rsid w:val="00B33C7C"/>
    <w:rsid w:val="00B34415"/>
    <w:rsid w:val="00B346D5"/>
    <w:rsid w:val="00B34893"/>
    <w:rsid w:val="00B34D79"/>
    <w:rsid w:val="00B34D97"/>
    <w:rsid w:val="00B34FDD"/>
    <w:rsid w:val="00B34FFF"/>
    <w:rsid w:val="00B3523B"/>
    <w:rsid w:val="00B35403"/>
    <w:rsid w:val="00B3574D"/>
    <w:rsid w:val="00B358D4"/>
    <w:rsid w:val="00B35D14"/>
    <w:rsid w:val="00B35F81"/>
    <w:rsid w:val="00B36169"/>
    <w:rsid w:val="00B36486"/>
    <w:rsid w:val="00B3654F"/>
    <w:rsid w:val="00B36B3C"/>
    <w:rsid w:val="00B36C70"/>
    <w:rsid w:val="00B3756A"/>
    <w:rsid w:val="00B375C4"/>
    <w:rsid w:val="00B376C8"/>
    <w:rsid w:val="00B3770C"/>
    <w:rsid w:val="00B37802"/>
    <w:rsid w:val="00B37B53"/>
    <w:rsid w:val="00B37BEB"/>
    <w:rsid w:val="00B37C7C"/>
    <w:rsid w:val="00B37D8E"/>
    <w:rsid w:val="00B37F1C"/>
    <w:rsid w:val="00B4048E"/>
    <w:rsid w:val="00B404DB"/>
    <w:rsid w:val="00B40621"/>
    <w:rsid w:val="00B4068C"/>
    <w:rsid w:val="00B40909"/>
    <w:rsid w:val="00B40969"/>
    <w:rsid w:val="00B40977"/>
    <w:rsid w:val="00B41180"/>
    <w:rsid w:val="00B4125E"/>
    <w:rsid w:val="00B41292"/>
    <w:rsid w:val="00B412B9"/>
    <w:rsid w:val="00B412D6"/>
    <w:rsid w:val="00B415B3"/>
    <w:rsid w:val="00B41857"/>
    <w:rsid w:val="00B4210E"/>
    <w:rsid w:val="00B421BD"/>
    <w:rsid w:val="00B42DDE"/>
    <w:rsid w:val="00B42E5B"/>
    <w:rsid w:val="00B43604"/>
    <w:rsid w:val="00B437A9"/>
    <w:rsid w:val="00B4382E"/>
    <w:rsid w:val="00B4388F"/>
    <w:rsid w:val="00B43F37"/>
    <w:rsid w:val="00B44E6E"/>
    <w:rsid w:val="00B45059"/>
    <w:rsid w:val="00B451F5"/>
    <w:rsid w:val="00B4522B"/>
    <w:rsid w:val="00B45309"/>
    <w:rsid w:val="00B458CA"/>
    <w:rsid w:val="00B458FC"/>
    <w:rsid w:val="00B45C53"/>
    <w:rsid w:val="00B45F5F"/>
    <w:rsid w:val="00B462CC"/>
    <w:rsid w:val="00B467E4"/>
    <w:rsid w:val="00B46B3E"/>
    <w:rsid w:val="00B46EC9"/>
    <w:rsid w:val="00B47257"/>
    <w:rsid w:val="00B47B92"/>
    <w:rsid w:val="00B47D9E"/>
    <w:rsid w:val="00B47DB3"/>
    <w:rsid w:val="00B50322"/>
    <w:rsid w:val="00B50843"/>
    <w:rsid w:val="00B50AFF"/>
    <w:rsid w:val="00B50BDB"/>
    <w:rsid w:val="00B50BEE"/>
    <w:rsid w:val="00B512D4"/>
    <w:rsid w:val="00B51805"/>
    <w:rsid w:val="00B518BB"/>
    <w:rsid w:val="00B5197B"/>
    <w:rsid w:val="00B520D3"/>
    <w:rsid w:val="00B5217F"/>
    <w:rsid w:val="00B524A1"/>
    <w:rsid w:val="00B5267F"/>
    <w:rsid w:val="00B528CC"/>
    <w:rsid w:val="00B529F2"/>
    <w:rsid w:val="00B5329A"/>
    <w:rsid w:val="00B533FF"/>
    <w:rsid w:val="00B534F8"/>
    <w:rsid w:val="00B5392F"/>
    <w:rsid w:val="00B53C89"/>
    <w:rsid w:val="00B54A2A"/>
    <w:rsid w:val="00B55592"/>
    <w:rsid w:val="00B555D2"/>
    <w:rsid w:val="00B55A36"/>
    <w:rsid w:val="00B55AFB"/>
    <w:rsid w:val="00B56128"/>
    <w:rsid w:val="00B561AB"/>
    <w:rsid w:val="00B56363"/>
    <w:rsid w:val="00B5666F"/>
    <w:rsid w:val="00B56F82"/>
    <w:rsid w:val="00B5738A"/>
    <w:rsid w:val="00B57914"/>
    <w:rsid w:val="00B5792B"/>
    <w:rsid w:val="00B57A17"/>
    <w:rsid w:val="00B6000B"/>
    <w:rsid w:val="00B60264"/>
    <w:rsid w:val="00B603AC"/>
    <w:rsid w:val="00B604D3"/>
    <w:rsid w:val="00B60D35"/>
    <w:rsid w:val="00B60E29"/>
    <w:rsid w:val="00B60F43"/>
    <w:rsid w:val="00B610E2"/>
    <w:rsid w:val="00B611A2"/>
    <w:rsid w:val="00B61A67"/>
    <w:rsid w:val="00B61B8A"/>
    <w:rsid w:val="00B61E39"/>
    <w:rsid w:val="00B62150"/>
    <w:rsid w:val="00B6224B"/>
    <w:rsid w:val="00B62311"/>
    <w:rsid w:val="00B626A9"/>
    <w:rsid w:val="00B62C6E"/>
    <w:rsid w:val="00B6376F"/>
    <w:rsid w:val="00B64280"/>
    <w:rsid w:val="00B643FB"/>
    <w:rsid w:val="00B645BB"/>
    <w:rsid w:val="00B64728"/>
    <w:rsid w:val="00B64B07"/>
    <w:rsid w:val="00B64B50"/>
    <w:rsid w:val="00B6507B"/>
    <w:rsid w:val="00B654CC"/>
    <w:rsid w:val="00B65F01"/>
    <w:rsid w:val="00B66235"/>
    <w:rsid w:val="00B66656"/>
    <w:rsid w:val="00B66857"/>
    <w:rsid w:val="00B66891"/>
    <w:rsid w:val="00B66C58"/>
    <w:rsid w:val="00B672C1"/>
    <w:rsid w:val="00B67795"/>
    <w:rsid w:val="00B678A7"/>
    <w:rsid w:val="00B6790C"/>
    <w:rsid w:val="00B679A4"/>
    <w:rsid w:val="00B67B89"/>
    <w:rsid w:val="00B70051"/>
    <w:rsid w:val="00B70196"/>
    <w:rsid w:val="00B7024A"/>
    <w:rsid w:val="00B70E5B"/>
    <w:rsid w:val="00B71359"/>
    <w:rsid w:val="00B7137E"/>
    <w:rsid w:val="00B713A9"/>
    <w:rsid w:val="00B71676"/>
    <w:rsid w:val="00B72023"/>
    <w:rsid w:val="00B72121"/>
    <w:rsid w:val="00B72643"/>
    <w:rsid w:val="00B7278D"/>
    <w:rsid w:val="00B72BEB"/>
    <w:rsid w:val="00B72C22"/>
    <w:rsid w:val="00B72CAC"/>
    <w:rsid w:val="00B72F13"/>
    <w:rsid w:val="00B7305E"/>
    <w:rsid w:val="00B7306E"/>
    <w:rsid w:val="00B73135"/>
    <w:rsid w:val="00B73266"/>
    <w:rsid w:val="00B732BD"/>
    <w:rsid w:val="00B735B3"/>
    <w:rsid w:val="00B738E4"/>
    <w:rsid w:val="00B73BD1"/>
    <w:rsid w:val="00B73DDA"/>
    <w:rsid w:val="00B7419F"/>
    <w:rsid w:val="00B74459"/>
    <w:rsid w:val="00B7454D"/>
    <w:rsid w:val="00B74964"/>
    <w:rsid w:val="00B74E17"/>
    <w:rsid w:val="00B7503C"/>
    <w:rsid w:val="00B753A8"/>
    <w:rsid w:val="00B759BC"/>
    <w:rsid w:val="00B75AFA"/>
    <w:rsid w:val="00B761BA"/>
    <w:rsid w:val="00B76372"/>
    <w:rsid w:val="00B76781"/>
    <w:rsid w:val="00B76F7B"/>
    <w:rsid w:val="00B773C5"/>
    <w:rsid w:val="00B77AAB"/>
    <w:rsid w:val="00B77C2F"/>
    <w:rsid w:val="00B8028E"/>
    <w:rsid w:val="00B802D9"/>
    <w:rsid w:val="00B8041D"/>
    <w:rsid w:val="00B80A99"/>
    <w:rsid w:val="00B81110"/>
    <w:rsid w:val="00B813D9"/>
    <w:rsid w:val="00B81BAF"/>
    <w:rsid w:val="00B81E62"/>
    <w:rsid w:val="00B8287F"/>
    <w:rsid w:val="00B82A4A"/>
    <w:rsid w:val="00B834A4"/>
    <w:rsid w:val="00B8392D"/>
    <w:rsid w:val="00B83C39"/>
    <w:rsid w:val="00B84776"/>
    <w:rsid w:val="00B848BB"/>
    <w:rsid w:val="00B849FE"/>
    <w:rsid w:val="00B84A0E"/>
    <w:rsid w:val="00B84A56"/>
    <w:rsid w:val="00B84A7E"/>
    <w:rsid w:val="00B84DD0"/>
    <w:rsid w:val="00B85424"/>
    <w:rsid w:val="00B85602"/>
    <w:rsid w:val="00B861B8"/>
    <w:rsid w:val="00B863D1"/>
    <w:rsid w:val="00B8656A"/>
    <w:rsid w:val="00B867EB"/>
    <w:rsid w:val="00B86825"/>
    <w:rsid w:val="00B86C0C"/>
    <w:rsid w:val="00B8702E"/>
    <w:rsid w:val="00B875C8"/>
    <w:rsid w:val="00B878BC"/>
    <w:rsid w:val="00B87B48"/>
    <w:rsid w:val="00B87BA4"/>
    <w:rsid w:val="00B87C76"/>
    <w:rsid w:val="00B87FF8"/>
    <w:rsid w:val="00B903EE"/>
    <w:rsid w:val="00B9069B"/>
    <w:rsid w:val="00B907A1"/>
    <w:rsid w:val="00B907BF"/>
    <w:rsid w:val="00B9085E"/>
    <w:rsid w:val="00B90D86"/>
    <w:rsid w:val="00B90DBA"/>
    <w:rsid w:val="00B90EE0"/>
    <w:rsid w:val="00B90F6A"/>
    <w:rsid w:val="00B917BE"/>
    <w:rsid w:val="00B91C01"/>
    <w:rsid w:val="00B91FE6"/>
    <w:rsid w:val="00B92166"/>
    <w:rsid w:val="00B92321"/>
    <w:rsid w:val="00B92856"/>
    <w:rsid w:val="00B928BB"/>
    <w:rsid w:val="00B929C7"/>
    <w:rsid w:val="00B929FD"/>
    <w:rsid w:val="00B92A66"/>
    <w:rsid w:val="00B93314"/>
    <w:rsid w:val="00B9342D"/>
    <w:rsid w:val="00B9373A"/>
    <w:rsid w:val="00B937AB"/>
    <w:rsid w:val="00B938CD"/>
    <w:rsid w:val="00B93E81"/>
    <w:rsid w:val="00B93E94"/>
    <w:rsid w:val="00B93F99"/>
    <w:rsid w:val="00B94034"/>
    <w:rsid w:val="00B9403B"/>
    <w:rsid w:val="00B9414E"/>
    <w:rsid w:val="00B941B5"/>
    <w:rsid w:val="00B94491"/>
    <w:rsid w:val="00B944B5"/>
    <w:rsid w:val="00B94BD1"/>
    <w:rsid w:val="00B95533"/>
    <w:rsid w:val="00B95D73"/>
    <w:rsid w:val="00B961A2"/>
    <w:rsid w:val="00B9667B"/>
    <w:rsid w:val="00B96ADE"/>
    <w:rsid w:val="00B96C26"/>
    <w:rsid w:val="00B96D26"/>
    <w:rsid w:val="00B97852"/>
    <w:rsid w:val="00B97C92"/>
    <w:rsid w:val="00B97D1E"/>
    <w:rsid w:val="00B97E4D"/>
    <w:rsid w:val="00BA0806"/>
    <w:rsid w:val="00BA0950"/>
    <w:rsid w:val="00BA0C2D"/>
    <w:rsid w:val="00BA0D15"/>
    <w:rsid w:val="00BA0FAB"/>
    <w:rsid w:val="00BA108F"/>
    <w:rsid w:val="00BA1400"/>
    <w:rsid w:val="00BA143C"/>
    <w:rsid w:val="00BA1966"/>
    <w:rsid w:val="00BA1AFA"/>
    <w:rsid w:val="00BA1C7E"/>
    <w:rsid w:val="00BA22FD"/>
    <w:rsid w:val="00BA265A"/>
    <w:rsid w:val="00BA2954"/>
    <w:rsid w:val="00BA2DE3"/>
    <w:rsid w:val="00BA30DC"/>
    <w:rsid w:val="00BA31C2"/>
    <w:rsid w:val="00BA3256"/>
    <w:rsid w:val="00BA3837"/>
    <w:rsid w:val="00BA3D91"/>
    <w:rsid w:val="00BA409C"/>
    <w:rsid w:val="00BA423A"/>
    <w:rsid w:val="00BA428F"/>
    <w:rsid w:val="00BA4652"/>
    <w:rsid w:val="00BA479C"/>
    <w:rsid w:val="00BA4A85"/>
    <w:rsid w:val="00BA4FE8"/>
    <w:rsid w:val="00BA534C"/>
    <w:rsid w:val="00BA5617"/>
    <w:rsid w:val="00BA5884"/>
    <w:rsid w:val="00BA5976"/>
    <w:rsid w:val="00BA5FDA"/>
    <w:rsid w:val="00BA60C8"/>
    <w:rsid w:val="00BA6114"/>
    <w:rsid w:val="00BA6202"/>
    <w:rsid w:val="00BA6592"/>
    <w:rsid w:val="00BA6755"/>
    <w:rsid w:val="00BA6C10"/>
    <w:rsid w:val="00BA75DE"/>
    <w:rsid w:val="00BA7712"/>
    <w:rsid w:val="00BA77A9"/>
    <w:rsid w:val="00BA7861"/>
    <w:rsid w:val="00BA7905"/>
    <w:rsid w:val="00BA7B22"/>
    <w:rsid w:val="00BA7DFD"/>
    <w:rsid w:val="00BB0048"/>
    <w:rsid w:val="00BB0352"/>
    <w:rsid w:val="00BB06E8"/>
    <w:rsid w:val="00BB0E43"/>
    <w:rsid w:val="00BB0F3E"/>
    <w:rsid w:val="00BB1029"/>
    <w:rsid w:val="00BB14C2"/>
    <w:rsid w:val="00BB1B8F"/>
    <w:rsid w:val="00BB1BCC"/>
    <w:rsid w:val="00BB1ECA"/>
    <w:rsid w:val="00BB218E"/>
    <w:rsid w:val="00BB21DC"/>
    <w:rsid w:val="00BB2BDA"/>
    <w:rsid w:val="00BB305F"/>
    <w:rsid w:val="00BB3275"/>
    <w:rsid w:val="00BB3601"/>
    <w:rsid w:val="00BB3B6A"/>
    <w:rsid w:val="00BB3C4A"/>
    <w:rsid w:val="00BB3CEC"/>
    <w:rsid w:val="00BB3DBD"/>
    <w:rsid w:val="00BB3F1C"/>
    <w:rsid w:val="00BB44B8"/>
    <w:rsid w:val="00BB45A5"/>
    <w:rsid w:val="00BB484A"/>
    <w:rsid w:val="00BB49BF"/>
    <w:rsid w:val="00BB4A6D"/>
    <w:rsid w:val="00BB4DEF"/>
    <w:rsid w:val="00BB4E1C"/>
    <w:rsid w:val="00BB4E35"/>
    <w:rsid w:val="00BB4F11"/>
    <w:rsid w:val="00BB5183"/>
    <w:rsid w:val="00BB522A"/>
    <w:rsid w:val="00BB570B"/>
    <w:rsid w:val="00BB5EBA"/>
    <w:rsid w:val="00BB5F70"/>
    <w:rsid w:val="00BB6268"/>
    <w:rsid w:val="00BB68F3"/>
    <w:rsid w:val="00BB6C3A"/>
    <w:rsid w:val="00BB6D74"/>
    <w:rsid w:val="00BB6E08"/>
    <w:rsid w:val="00BB7176"/>
    <w:rsid w:val="00BB722E"/>
    <w:rsid w:val="00BB74D4"/>
    <w:rsid w:val="00BB770E"/>
    <w:rsid w:val="00BB7741"/>
    <w:rsid w:val="00BB7874"/>
    <w:rsid w:val="00BB7CF2"/>
    <w:rsid w:val="00BB7F97"/>
    <w:rsid w:val="00BC0017"/>
    <w:rsid w:val="00BC02A0"/>
    <w:rsid w:val="00BC046C"/>
    <w:rsid w:val="00BC0630"/>
    <w:rsid w:val="00BC098D"/>
    <w:rsid w:val="00BC0E78"/>
    <w:rsid w:val="00BC0EB6"/>
    <w:rsid w:val="00BC0EBC"/>
    <w:rsid w:val="00BC0EDE"/>
    <w:rsid w:val="00BC0F33"/>
    <w:rsid w:val="00BC1320"/>
    <w:rsid w:val="00BC14B2"/>
    <w:rsid w:val="00BC1707"/>
    <w:rsid w:val="00BC1974"/>
    <w:rsid w:val="00BC1B37"/>
    <w:rsid w:val="00BC1B51"/>
    <w:rsid w:val="00BC1E14"/>
    <w:rsid w:val="00BC1ECC"/>
    <w:rsid w:val="00BC2389"/>
    <w:rsid w:val="00BC243A"/>
    <w:rsid w:val="00BC24FF"/>
    <w:rsid w:val="00BC29B7"/>
    <w:rsid w:val="00BC2B87"/>
    <w:rsid w:val="00BC2D61"/>
    <w:rsid w:val="00BC2DDF"/>
    <w:rsid w:val="00BC3448"/>
    <w:rsid w:val="00BC400F"/>
    <w:rsid w:val="00BC402A"/>
    <w:rsid w:val="00BC40D9"/>
    <w:rsid w:val="00BC49D6"/>
    <w:rsid w:val="00BC4AFC"/>
    <w:rsid w:val="00BC4C1B"/>
    <w:rsid w:val="00BC4E5A"/>
    <w:rsid w:val="00BC5040"/>
    <w:rsid w:val="00BC50FA"/>
    <w:rsid w:val="00BC5329"/>
    <w:rsid w:val="00BC57D0"/>
    <w:rsid w:val="00BC5F24"/>
    <w:rsid w:val="00BC67E7"/>
    <w:rsid w:val="00BC68D1"/>
    <w:rsid w:val="00BC71F9"/>
    <w:rsid w:val="00BC72AA"/>
    <w:rsid w:val="00BC775D"/>
    <w:rsid w:val="00BC78B0"/>
    <w:rsid w:val="00BC79FE"/>
    <w:rsid w:val="00BC7EDE"/>
    <w:rsid w:val="00BC7F28"/>
    <w:rsid w:val="00BD0132"/>
    <w:rsid w:val="00BD0955"/>
    <w:rsid w:val="00BD095B"/>
    <w:rsid w:val="00BD1042"/>
    <w:rsid w:val="00BD1060"/>
    <w:rsid w:val="00BD130F"/>
    <w:rsid w:val="00BD1524"/>
    <w:rsid w:val="00BD15E4"/>
    <w:rsid w:val="00BD161A"/>
    <w:rsid w:val="00BD184D"/>
    <w:rsid w:val="00BD1CB6"/>
    <w:rsid w:val="00BD21A4"/>
    <w:rsid w:val="00BD21EF"/>
    <w:rsid w:val="00BD2274"/>
    <w:rsid w:val="00BD2298"/>
    <w:rsid w:val="00BD24FB"/>
    <w:rsid w:val="00BD274C"/>
    <w:rsid w:val="00BD2807"/>
    <w:rsid w:val="00BD2C9C"/>
    <w:rsid w:val="00BD2F79"/>
    <w:rsid w:val="00BD323B"/>
    <w:rsid w:val="00BD32BA"/>
    <w:rsid w:val="00BD3883"/>
    <w:rsid w:val="00BD3AE4"/>
    <w:rsid w:val="00BD3B36"/>
    <w:rsid w:val="00BD3DE4"/>
    <w:rsid w:val="00BD3E0F"/>
    <w:rsid w:val="00BD3EAC"/>
    <w:rsid w:val="00BD40A8"/>
    <w:rsid w:val="00BD4208"/>
    <w:rsid w:val="00BD4455"/>
    <w:rsid w:val="00BD449B"/>
    <w:rsid w:val="00BD4D17"/>
    <w:rsid w:val="00BD4F4A"/>
    <w:rsid w:val="00BD5132"/>
    <w:rsid w:val="00BD52EA"/>
    <w:rsid w:val="00BD5399"/>
    <w:rsid w:val="00BD581C"/>
    <w:rsid w:val="00BD5EA5"/>
    <w:rsid w:val="00BD6097"/>
    <w:rsid w:val="00BD63F6"/>
    <w:rsid w:val="00BD6712"/>
    <w:rsid w:val="00BD6714"/>
    <w:rsid w:val="00BD6ACB"/>
    <w:rsid w:val="00BD6D19"/>
    <w:rsid w:val="00BD6E30"/>
    <w:rsid w:val="00BD6E5D"/>
    <w:rsid w:val="00BD6FAF"/>
    <w:rsid w:val="00BD6FE9"/>
    <w:rsid w:val="00BD71C2"/>
    <w:rsid w:val="00BD7209"/>
    <w:rsid w:val="00BD72F5"/>
    <w:rsid w:val="00BD7C6B"/>
    <w:rsid w:val="00BD7DC6"/>
    <w:rsid w:val="00BD7F4B"/>
    <w:rsid w:val="00BE002D"/>
    <w:rsid w:val="00BE01C9"/>
    <w:rsid w:val="00BE0BAB"/>
    <w:rsid w:val="00BE0C97"/>
    <w:rsid w:val="00BE0F90"/>
    <w:rsid w:val="00BE11A9"/>
    <w:rsid w:val="00BE1448"/>
    <w:rsid w:val="00BE190C"/>
    <w:rsid w:val="00BE1AC5"/>
    <w:rsid w:val="00BE1DAB"/>
    <w:rsid w:val="00BE25A5"/>
    <w:rsid w:val="00BE28FC"/>
    <w:rsid w:val="00BE2A2B"/>
    <w:rsid w:val="00BE312A"/>
    <w:rsid w:val="00BE3384"/>
    <w:rsid w:val="00BE33E7"/>
    <w:rsid w:val="00BE3CFD"/>
    <w:rsid w:val="00BE3E37"/>
    <w:rsid w:val="00BE43A7"/>
    <w:rsid w:val="00BE443F"/>
    <w:rsid w:val="00BE447A"/>
    <w:rsid w:val="00BE453A"/>
    <w:rsid w:val="00BE45D8"/>
    <w:rsid w:val="00BE4A82"/>
    <w:rsid w:val="00BE4B15"/>
    <w:rsid w:val="00BE4E23"/>
    <w:rsid w:val="00BE50CE"/>
    <w:rsid w:val="00BE5157"/>
    <w:rsid w:val="00BE54EC"/>
    <w:rsid w:val="00BE5552"/>
    <w:rsid w:val="00BE5757"/>
    <w:rsid w:val="00BE589D"/>
    <w:rsid w:val="00BE592D"/>
    <w:rsid w:val="00BE5FFA"/>
    <w:rsid w:val="00BE6480"/>
    <w:rsid w:val="00BE66A2"/>
    <w:rsid w:val="00BE69F4"/>
    <w:rsid w:val="00BE6B25"/>
    <w:rsid w:val="00BE759A"/>
    <w:rsid w:val="00BE7699"/>
    <w:rsid w:val="00BE77FD"/>
    <w:rsid w:val="00BE7CBF"/>
    <w:rsid w:val="00BE7CE0"/>
    <w:rsid w:val="00BE7D36"/>
    <w:rsid w:val="00BE7FDD"/>
    <w:rsid w:val="00BF0512"/>
    <w:rsid w:val="00BF05C7"/>
    <w:rsid w:val="00BF0896"/>
    <w:rsid w:val="00BF0A08"/>
    <w:rsid w:val="00BF11DD"/>
    <w:rsid w:val="00BF1696"/>
    <w:rsid w:val="00BF174B"/>
    <w:rsid w:val="00BF2732"/>
    <w:rsid w:val="00BF2A87"/>
    <w:rsid w:val="00BF2C6D"/>
    <w:rsid w:val="00BF2C70"/>
    <w:rsid w:val="00BF33DC"/>
    <w:rsid w:val="00BF3787"/>
    <w:rsid w:val="00BF3A1D"/>
    <w:rsid w:val="00BF3B7B"/>
    <w:rsid w:val="00BF438F"/>
    <w:rsid w:val="00BF447F"/>
    <w:rsid w:val="00BF5252"/>
    <w:rsid w:val="00BF5447"/>
    <w:rsid w:val="00BF56B8"/>
    <w:rsid w:val="00BF580D"/>
    <w:rsid w:val="00BF5F3A"/>
    <w:rsid w:val="00BF644F"/>
    <w:rsid w:val="00BF646E"/>
    <w:rsid w:val="00BF659E"/>
    <w:rsid w:val="00BF68A8"/>
    <w:rsid w:val="00BF6ADE"/>
    <w:rsid w:val="00BF7728"/>
    <w:rsid w:val="00BF7772"/>
    <w:rsid w:val="00C0022C"/>
    <w:rsid w:val="00C003F3"/>
    <w:rsid w:val="00C00407"/>
    <w:rsid w:val="00C00A8F"/>
    <w:rsid w:val="00C00B6B"/>
    <w:rsid w:val="00C00D75"/>
    <w:rsid w:val="00C019A5"/>
    <w:rsid w:val="00C019DA"/>
    <w:rsid w:val="00C01A2A"/>
    <w:rsid w:val="00C01C21"/>
    <w:rsid w:val="00C021E9"/>
    <w:rsid w:val="00C021F4"/>
    <w:rsid w:val="00C0248A"/>
    <w:rsid w:val="00C02B48"/>
    <w:rsid w:val="00C03203"/>
    <w:rsid w:val="00C03514"/>
    <w:rsid w:val="00C036F9"/>
    <w:rsid w:val="00C03769"/>
    <w:rsid w:val="00C038AD"/>
    <w:rsid w:val="00C03AC0"/>
    <w:rsid w:val="00C04535"/>
    <w:rsid w:val="00C04A47"/>
    <w:rsid w:val="00C04A4B"/>
    <w:rsid w:val="00C04D14"/>
    <w:rsid w:val="00C04E08"/>
    <w:rsid w:val="00C051DE"/>
    <w:rsid w:val="00C05214"/>
    <w:rsid w:val="00C05952"/>
    <w:rsid w:val="00C05A3D"/>
    <w:rsid w:val="00C05B94"/>
    <w:rsid w:val="00C0622D"/>
    <w:rsid w:val="00C06C0A"/>
    <w:rsid w:val="00C06D72"/>
    <w:rsid w:val="00C06E07"/>
    <w:rsid w:val="00C072E6"/>
    <w:rsid w:val="00C07469"/>
    <w:rsid w:val="00C075BF"/>
    <w:rsid w:val="00C108F1"/>
    <w:rsid w:val="00C10BA7"/>
    <w:rsid w:val="00C111B0"/>
    <w:rsid w:val="00C115D4"/>
    <w:rsid w:val="00C119D3"/>
    <w:rsid w:val="00C11CFD"/>
    <w:rsid w:val="00C12079"/>
    <w:rsid w:val="00C122D8"/>
    <w:rsid w:val="00C1242E"/>
    <w:rsid w:val="00C127EC"/>
    <w:rsid w:val="00C12CDA"/>
    <w:rsid w:val="00C12DFE"/>
    <w:rsid w:val="00C12FEA"/>
    <w:rsid w:val="00C131E7"/>
    <w:rsid w:val="00C13677"/>
    <w:rsid w:val="00C13879"/>
    <w:rsid w:val="00C1488D"/>
    <w:rsid w:val="00C14F52"/>
    <w:rsid w:val="00C14F74"/>
    <w:rsid w:val="00C150A8"/>
    <w:rsid w:val="00C153F4"/>
    <w:rsid w:val="00C15732"/>
    <w:rsid w:val="00C157D8"/>
    <w:rsid w:val="00C15D0C"/>
    <w:rsid w:val="00C15FF0"/>
    <w:rsid w:val="00C16445"/>
    <w:rsid w:val="00C16517"/>
    <w:rsid w:val="00C16730"/>
    <w:rsid w:val="00C167CB"/>
    <w:rsid w:val="00C16867"/>
    <w:rsid w:val="00C16941"/>
    <w:rsid w:val="00C16DDD"/>
    <w:rsid w:val="00C16E87"/>
    <w:rsid w:val="00C17139"/>
    <w:rsid w:val="00C1741E"/>
    <w:rsid w:val="00C174FB"/>
    <w:rsid w:val="00C17695"/>
    <w:rsid w:val="00C17704"/>
    <w:rsid w:val="00C17762"/>
    <w:rsid w:val="00C17828"/>
    <w:rsid w:val="00C17C14"/>
    <w:rsid w:val="00C17CF6"/>
    <w:rsid w:val="00C200D8"/>
    <w:rsid w:val="00C20349"/>
    <w:rsid w:val="00C204C1"/>
    <w:rsid w:val="00C20985"/>
    <w:rsid w:val="00C20C64"/>
    <w:rsid w:val="00C20D5C"/>
    <w:rsid w:val="00C21069"/>
    <w:rsid w:val="00C211E1"/>
    <w:rsid w:val="00C214E5"/>
    <w:rsid w:val="00C21C5D"/>
    <w:rsid w:val="00C21FE2"/>
    <w:rsid w:val="00C220ED"/>
    <w:rsid w:val="00C22257"/>
    <w:rsid w:val="00C224D9"/>
    <w:rsid w:val="00C22EA3"/>
    <w:rsid w:val="00C232F8"/>
    <w:rsid w:val="00C23567"/>
    <w:rsid w:val="00C23615"/>
    <w:rsid w:val="00C23A90"/>
    <w:rsid w:val="00C2418C"/>
    <w:rsid w:val="00C2441A"/>
    <w:rsid w:val="00C247C8"/>
    <w:rsid w:val="00C248A7"/>
    <w:rsid w:val="00C24B2D"/>
    <w:rsid w:val="00C24CA3"/>
    <w:rsid w:val="00C2539C"/>
    <w:rsid w:val="00C25633"/>
    <w:rsid w:val="00C25645"/>
    <w:rsid w:val="00C258C9"/>
    <w:rsid w:val="00C258E1"/>
    <w:rsid w:val="00C25F77"/>
    <w:rsid w:val="00C26886"/>
    <w:rsid w:val="00C270D9"/>
    <w:rsid w:val="00C272FB"/>
    <w:rsid w:val="00C2774A"/>
    <w:rsid w:val="00C27822"/>
    <w:rsid w:val="00C27873"/>
    <w:rsid w:val="00C27888"/>
    <w:rsid w:val="00C306EE"/>
    <w:rsid w:val="00C309B3"/>
    <w:rsid w:val="00C30E4B"/>
    <w:rsid w:val="00C31CF2"/>
    <w:rsid w:val="00C31E93"/>
    <w:rsid w:val="00C324FF"/>
    <w:rsid w:val="00C3250C"/>
    <w:rsid w:val="00C32C4C"/>
    <w:rsid w:val="00C3365E"/>
    <w:rsid w:val="00C33751"/>
    <w:rsid w:val="00C33773"/>
    <w:rsid w:val="00C33D08"/>
    <w:rsid w:val="00C33FD0"/>
    <w:rsid w:val="00C34221"/>
    <w:rsid w:val="00C34277"/>
    <w:rsid w:val="00C34516"/>
    <w:rsid w:val="00C34ACD"/>
    <w:rsid w:val="00C34F7B"/>
    <w:rsid w:val="00C351D7"/>
    <w:rsid w:val="00C3525A"/>
    <w:rsid w:val="00C35614"/>
    <w:rsid w:val="00C35E6F"/>
    <w:rsid w:val="00C35ED2"/>
    <w:rsid w:val="00C368D5"/>
    <w:rsid w:val="00C36C0E"/>
    <w:rsid w:val="00C37464"/>
    <w:rsid w:val="00C375A3"/>
    <w:rsid w:val="00C376B0"/>
    <w:rsid w:val="00C376C8"/>
    <w:rsid w:val="00C40711"/>
    <w:rsid w:val="00C41380"/>
    <w:rsid w:val="00C41646"/>
    <w:rsid w:val="00C4198B"/>
    <w:rsid w:val="00C419D9"/>
    <w:rsid w:val="00C41D5A"/>
    <w:rsid w:val="00C41E52"/>
    <w:rsid w:val="00C4203C"/>
    <w:rsid w:val="00C4241A"/>
    <w:rsid w:val="00C425C9"/>
    <w:rsid w:val="00C429BB"/>
    <w:rsid w:val="00C42AFC"/>
    <w:rsid w:val="00C43466"/>
    <w:rsid w:val="00C435EE"/>
    <w:rsid w:val="00C439DC"/>
    <w:rsid w:val="00C43AFD"/>
    <w:rsid w:val="00C43F49"/>
    <w:rsid w:val="00C4420B"/>
    <w:rsid w:val="00C444FE"/>
    <w:rsid w:val="00C44919"/>
    <w:rsid w:val="00C44BDB"/>
    <w:rsid w:val="00C44CCE"/>
    <w:rsid w:val="00C44D8F"/>
    <w:rsid w:val="00C455E4"/>
    <w:rsid w:val="00C45920"/>
    <w:rsid w:val="00C45CD5"/>
    <w:rsid w:val="00C465C0"/>
    <w:rsid w:val="00C47323"/>
    <w:rsid w:val="00C478AB"/>
    <w:rsid w:val="00C478F4"/>
    <w:rsid w:val="00C5022E"/>
    <w:rsid w:val="00C50319"/>
    <w:rsid w:val="00C5031F"/>
    <w:rsid w:val="00C50487"/>
    <w:rsid w:val="00C505D5"/>
    <w:rsid w:val="00C50B0F"/>
    <w:rsid w:val="00C50D02"/>
    <w:rsid w:val="00C50D9E"/>
    <w:rsid w:val="00C517BC"/>
    <w:rsid w:val="00C51F7A"/>
    <w:rsid w:val="00C52174"/>
    <w:rsid w:val="00C5225B"/>
    <w:rsid w:val="00C52413"/>
    <w:rsid w:val="00C5243A"/>
    <w:rsid w:val="00C524E1"/>
    <w:rsid w:val="00C52652"/>
    <w:rsid w:val="00C52B10"/>
    <w:rsid w:val="00C52CE0"/>
    <w:rsid w:val="00C5302C"/>
    <w:rsid w:val="00C530F0"/>
    <w:rsid w:val="00C53374"/>
    <w:rsid w:val="00C53424"/>
    <w:rsid w:val="00C5344A"/>
    <w:rsid w:val="00C534AA"/>
    <w:rsid w:val="00C5369C"/>
    <w:rsid w:val="00C5374C"/>
    <w:rsid w:val="00C5391F"/>
    <w:rsid w:val="00C539EB"/>
    <w:rsid w:val="00C53FCA"/>
    <w:rsid w:val="00C53FD7"/>
    <w:rsid w:val="00C54075"/>
    <w:rsid w:val="00C54280"/>
    <w:rsid w:val="00C545B6"/>
    <w:rsid w:val="00C54A57"/>
    <w:rsid w:val="00C54AC3"/>
    <w:rsid w:val="00C54B39"/>
    <w:rsid w:val="00C54C1C"/>
    <w:rsid w:val="00C54C3B"/>
    <w:rsid w:val="00C54CFF"/>
    <w:rsid w:val="00C54E82"/>
    <w:rsid w:val="00C54E9A"/>
    <w:rsid w:val="00C551C4"/>
    <w:rsid w:val="00C55DD0"/>
    <w:rsid w:val="00C56229"/>
    <w:rsid w:val="00C56283"/>
    <w:rsid w:val="00C56441"/>
    <w:rsid w:val="00C566BE"/>
    <w:rsid w:val="00C566EB"/>
    <w:rsid w:val="00C56B8E"/>
    <w:rsid w:val="00C56D0D"/>
    <w:rsid w:val="00C56E74"/>
    <w:rsid w:val="00C56EFF"/>
    <w:rsid w:val="00C572EF"/>
    <w:rsid w:val="00C573F2"/>
    <w:rsid w:val="00C57584"/>
    <w:rsid w:val="00C575C5"/>
    <w:rsid w:val="00C577CF"/>
    <w:rsid w:val="00C57DF5"/>
    <w:rsid w:val="00C57FF4"/>
    <w:rsid w:val="00C605A7"/>
    <w:rsid w:val="00C607C3"/>
    <w:rsid w:val="00C60978"/>
    <w:rsid w:val="00C60E7B"/>
    <w:rsid w:val="00C614A4"/>
    <w:rsid w:val="00C61DF7"/>
    <w:rsid w:val="00C61EA5"/>
    <w:rsid w:val="00C62077"/>
    <w:rsid w:val="00C6215C"/>
    <w:rsid w:val="00C62932"/>
    <w:rsid w:val="00C62D04"/>
    <w:rsid w:val="00C62E2D"/>
    <w:rsid w:val="00C62E91"/>
    <w:rsid w:val="00C62F30"/>
    <w:rsid w:val="00C62FEE"/>
    <w:rsid w:val="00C6353E"/>
    <w:rsid w:val="00C63696"/>
    <w:rsid w:val="00C6392E"/>
    <w:rsid w:val="00C63C40"/>
    <w:rsid w:val="00C63D41"/>
    <w:rsid w:val="00C63EA9"/>
    <w:rsid w:val="00C63F25"/>
    <w:rsid w:val="00C6416F"/>
    <w:rsid w:val="00C6427F"/>
    <w:rsid w:val="00C64DF9"/>
    <w:rsid w:val="00C64EFB"/>
    <w:rsid w:val="00C6511C"/>
    <w:rsid w:val="00C652AE"/>
    <w:rsid w:val="00C653D5"/>
    <w:rsid w:val="00C653D7"/>
    <w:rsid w:val="00C65664"/>
    <w:rsid w:val="00C6579E"/>
    <w:rsid w:val="00C65898"/>
    <w:rsid w:val="00C6597F"/>
    <w:rsid w:val="00C65A60"/>
    <w:rsid w:val="00C662AC"/>
    <w:rsid w:val="00C663FE"/>
    <w:rsid w:val="00C66A14"/>
    <w:rsid w:val="00C67562"/>
    <w:rsid w:val="00C67630"/>
    <w:rsid w:val="00C67CAD"/>
    <w:rsid w:val="00C67EF0"/>
    <w:rsid w:val="00C7027F"/>
    <w:rsid w:val="00C70439"/>
    <w:rsid w:val="00C705BB"/>
    <w:rsid w:val="00C7075F"/>
    <w:rsid w:val="00C70972"/>
    <w:rsid w:val="00C70F79"/>
    <w:rsid w:val="00C7121A"/>
    <w:rsid w:val="00C7143C"/>
    <w:rsid w:val="00C714B8"/>
    <w:rsid w:val="00C71964"/>
    <w:rsid w:val="00C71B79"/>
    <w:rsid w:val="00C71F6F"/>
    <w:rsid w:val="00C71F7D"/>
    <w:rsid w:val="00C72640"/>
    <w:rsid w:val="00C72694"/>
    <w:rsid w:val="00C72F13"/>
    <w:rsid w:val="00C73DB2"/>
    <w:rsid w:val="00C740B5"/>
    <w:rsid w:val="00C74C9B"/>
    <w:rsid w:val="00C74EF6"/>
    <w:rsid w:val="00C74F4B"/>
    <w:rsid w:val="00C74F7A"/>
    <w:rsid w:val="00C750AD"/>
    <w:rsid w:val="00C75232"/>
    <w:rsid w:val="00C75C64"/>
    <w:rsid w:val="00C75E10"/>
    <w:rsid w:val="00C7617F"/>
    <w:rsid w:val="00C76368"/>
    <w:rsid w:val="00C76A98"/>
    <w:rsid w:val="00C76EF2"/>
    <w:rsid w:val="00C76F41"/>
    <w:rsid w:val="00C771BB"/>
    <w:rsid w:val="00C7737D"/>
    <w:rsid w:val="00C779A4"/>
    <w:rsid w:val="00C77ED0"/>
    <w:rsid w:val="00C80209"/>
    <w:rsid w:val="00C803F4"/>
    <w:rsid w:val="00C80975"/>
    <w:rsid w:val="00C8164E"/>
    <w:rsid w:val="00C81D2F"/>
    <w:rsid w:val="00C8251E"/>
    <w:rsid w:val="00C82C24"/>
    <w:rsid w:val="00C83102"/>
    <w:rsid w:val="00C83337"/>
    <w:rsid w:val="00C835E4"/>
    <w:rsid w:val="00C8370D"/>
    <w:rsid w:val="00C83991"/>
    <w:rsid w:val="00C83BF6"/>
    <w:rsid w:val="00C84569"/>
    <w:rsid w:val="00C846DC"/>
    <w:rsid w:val="00C846DF"/>
    <w:rsid w:val="00C84715"/>
    <w:rsid w:val="00C84726"/>
    <w:rsid w:val="00C852D9"/>
    <w:rsid w:val="00C8562E"/>
    <w:rsid w:val="00C85A0A"/>
    <w:rsid w:val="00C85D86"/>
    <w:rsid w:val="00C85E0E"/>
    <w:rsid w:val="00C85F18"/>
    <w:rsid w:val="00C85F63"/>
    <w:rsid w:val="00C860CF"/>
    <w:rsid w:val="00C8641F"/>
    <w:rsid w:val="00C86626"/>
    <w:rsid w:val="00C86694"/>
    <w:rsid w:val="00C866FB"/>
    <w:rsid w:val="00C8680D"/>
    <w:rsid w:val="00C869A7"/>
    <w:rsid w:val="00C86BC8"/>
    <w:rsid w:val="00C86EC3"/>
    <w:rsid w:val="00C8706D"/>
    <w:rsid w:val="00C87122"/>
    <w:rsid w:val="00C87472"/>
    <w:rsid w:val="00C8789A"/>
    <w:rsid w:val="00C87A2C"/>
    <w:rsid w:val="00C87F1A"/>
    <w:rsid w:val="00C90180"/>
    <w:rsid w:val="00C905C3"/>
    <w:rsid w:val="00C9078A"/>
    <w:rsid w:val="00C907DC"/>
    <w:rsid w:val="00C9103A"/>
    <w:rsid w:val="00C9115E"/>
    <w:rsid w:val="00C9182A"/>
    <w:rsid w:val="00C919D5"/>
    <w:rsid w:val="00C925FC"/>
    <w:rsid w:val="00C926BB"/>
    <w:rsid w:val="00C926C0"/>
    <w:rsid w:val="00C92C99"/>
    <w:rsid w:val="00C92D57"/>
    <w:rsid w:val="00C92DC1"/>
    <w:rsid w:val="00C92EF8"/>
    <w:rsid w:val="00C92F8E"/>
    <w:rsid w:val="00C93422"/>
    <w:rsid w:val="00C93D3B"/>
    <w:rsid w:val="00C93EBA"/>
    <w:rsid w:val="00C93F13"/>
    <w:rsid w:val="00C94156"/>
    <w:rsid w:val="00C94A22"/>
    <w:rsid w:val="00C94A6A"/>
    <w:rsid w:val="00C94D73"/>
    <w:rsid w:val="00C95239"/>
    <w:rsid w:val="00C9560A"/>
    <w:rsid w:val="00C9624E"/>
    <w:rsid w:val="00C96A16"/>
    <w:rsid w:val="00C96B2E"/>
    <w:rsid w:val="00C96C67"/>
    <w:rsid w:val="00C96F9C"/>
    <w:rsid w:val="00C97553"/>
    <w:rsid w:val="00C9771E"/>
    <w:rsid w:val="00C97852"/>
    <w:rsid w:val="00C97B73"/>
    <w:rsid w:val="00C97BE9"/>
    <w:rsid w:val="00C97C9C"/>
    <w:rsid w:val="00CA0306"/>
    <w:rsid w:val="00CA057C"/>
    <w:rsid w:val="00CA0848"/>
    <w:rsid w:val="00CA0A04"/>
    <w:rsid w:val="00CA0A55"/>
    <w:rsid w:val="00CA0A9E"/>
    <w:rsid w:val="00CA0C59"/>
    <w:rsid w:val="00CA136C"/>
    <w:rsid w:val="00CA1621"/>
    <w:rsid w:val="00CA1726"/>
    <w:rsid w:val="00CA1A81"/>
    <w:rsid w:val="00CA1B58"/>
    <w:rsid w:val="00CA2A1B"/>
    <w:rsid w:val="00CA2A84"/>
    <w:rsid w:val="00CA3275"/>
    <w:rsid w:val="00CA33DA"/>
    <w:rsid w:val="00CA3984"/>
    <w:rsid w:val="00CA3BB9"/>
    <w:rsid w:val="00CA3D7F"/>
    <w:rsid w:val="00CA3F2A"/>
    <w:rsid w:val="00CA4201"/>
    <w:rsid w:val="00CA44B1"/>
    <w:rsid w:val="00CA45E0"/>
    <w:rsid w:val="00CA478C"/>
    <w:rsid w:val="00CA494C"/>
    <w:rsid w:val="00CA4D6E"/>
    <w:rsid w:val="00CA4F6A"/>
    <w:rsid w:val="00CA4F96"/>
    <w:rsid w:val="00CA52FA"/>
    <w:rsid w:val="00CA53E5"/>
    <w:rsid w:val="00CA5403"/>
    <w:rsid w:val="00CA5B29"/>
    <w:rsid w:val="00CA5B87"/>
    <w:rsid w:val="00CA5C41"/>
    <w:rsid w:val="00CA5E6B"/>
    <w:rsid w:val="00CA5F79"/>
    <w:rsid w:val="00CA5F8B"/>
    <w:rsid w:val="00CA61E7"/>
    <w:rsid w:val="00CA6294"/>
    <w:rsid w:val="00CA692A"/>
    <w:rsid w:val="00CA6E64"/>
    <w:rsid w:val="00CA717C"/>
    <w:rsid w:val="00CB057A"/>
    <w:rsid w:val="00CB0FD3"/>
    <w:rsid w:val="00CB1061"/>
    <w:rsid w:val="00CB12C0"/>
    <w:rsid w:val="00CB13E4"/>
    <w:rsid w:val="00CB159B"/>
    <w:rsid w:val="00CB1E2C"/>
    <w:rsid w:val="00CB2479"/>
    <w:rsid w:val="00CB2522"/>
    <w:rsid w:val="00CB25EB"/>
    <w:rsid w:val="00CB2786"/>
    <w:rsid w:val="00CB2AB9"/>
    <w:rsid w:val="00CB330C"/>
    <w:rsid w:val="00CB36C8"/>
    <w:rsid w:val="00CB3C7E"/>
    <w:rsid w:val="00CB3CB0"/>
    <w:rsid w:val="00CB3EDD"/>
    <w:rsid w:val="00CB4084"/>
    <w:rsid w:val="00CB4146"/>
    <w:rsid w:val="00CB4660"/>
    <w:rsid w:val="00CB47FB"/>
    <w:rsid w:val="00CB4CA5"/>
    <w:rsid w:val="00CB5217"/>
    <w:rsid w:val="00CB5308"/>
    <w:rsid w:val="00CB56F9"/>
    <w:rsid w:val="00CB6256"/>
    <w:rsid w:val="00CB64AA"/>
    <w:rsid w:val="00CB701E"/>
    <w:rsid w:val="00CB74D0"/>
    <w:rsid w:val="00CB7C4E"/>
    <w:rsid w:val="00CB7C6F"/>
    <w:rsid w:val="00CC01B5"/>
    <w:rsid w:val="00CC022B"/>
    <w:rsid w:val="00CC036E"/>
    <w:rsid w:val="00CC0ACD"/>
    <w:rsid w:val="00CC0AF4"/>
    <w:rsid w:val="00CC0BF7"/>
    <w:rsid w:val="00CC152E"/>
    <w:rsid w:val="00CC1C20"/>
    <w:rsid w:val="00CC1F2E"/>
    <w:rsid w:val="00CC2202"/>
    <w:rsid w:val="00CC27FE"/>
    <w:rsid w:val="00CC2819"/>
    <w:rsid w:val="00CC2A40"/>
    <w:rsid w:val="00CC2DE4"/>
    <w:rsid w:val="00CC312F"/>
    <w:rsid w:val="00CC3195"/>
    <w:rsid w:val="00CC3665"/>
    <w:rsid w:val="00CC39BC"/>
    <w:rsid w:val="00CC3D26"/>
    <w:rsid w:val="00CC3D44"/>
    <w:rsid w:val="00CC3E04"/>
    <w:rsid w:val="00CC4309"/>
    <w:rsid w:val="00CC43B0"/>
    <w:rsid w:val="00CC44E5"/>
    <w:rsid w:val="00CC4934"/>
    <w:rsid w:val="00CC4B9D"/>
    <w:rsid w:val="00CC4CA4"/>
    <w:rsid w:val="00CC4DC6"/>
    <w:rsid w:val="00CC5076"/>
    <w:rsid w:val="00CC507A"/>
    <w:rsid w:val="00CC529D"/>
    <w:rsid w:val="00CC58E1"/>
    <w:rsid w:val="00CC5AAE"/>
    <w:rsid w:val="00CC5C30"/>
    <w:rsid w:val="00CC5F3C"/>
    <w:rsid w:val="00CC6604"/>
    <w:rsid w:val="00CC6B42"/>
    <w:rsid w:val="00CC7168"/>
    <w:rsid w:val="00CC7274"/>
    <w:rsid w:val="00CC78ED"/>
    <w:rsid w:val="00CD052A"/>
    <w:rsid w:val="00CD09A0"/>
    <w:rsid w:val="00CD0D67"/>
    <w:rsid w:val="00CD0F48"/>
    <w:rsid w:val="00CD102D"/>
    <w:rsid w:val="00CD1567"/>
    <w:rsid w:val="00CD1FBA"/>
    <w:rsid w:val="00CD2117"/>
    <w:rsid w:val="00CD25BD"/>
    <w:rsid w:val="00CD2837"/>
    <w:rsid w:val="00CD2CDE"/>
    <w:rsid w:val="00CD2D7C"/>
    <w:rsid w:val="00CD30EF"/>
    <w:rsid w:val="00CD3132"/>
    <w:rsid w:val="00CD315B"/>
    <w:rsid w:val="00CD472C"/>
    <w:rsid w:val="00CD4A4D"/>
    <w:rsid w:val="00CD50EB"/>
    <w:rsid w:val="00CD53CA"/>
    <w:rsid w:val="00CD565E"/>
    <w:rsid w:val="00CD5931"/>
    <w:rsid w:val="00CD5C5D"/>
    <w:rsid w:val="00CD5EA7"/>
    <w:rsid w:val="00CD5F1D"/>
    <w:rsid w:val="00CD5F6B"/>
    <w:rsid w:val="00CD5F7C"/>
    <w:rsid w:val="00CD5FF6"/>
    <w:rsid w:val="00CD60C9"/>
    <w:rsid w:val="00CD623E"/>
    <w:rsid w:val="00CD628C"/>
    <w:rsid w:val="00CD6425"/>
    <w:rsid w:val="00CD64C2"/>
    <w:rsid w:val="00CD653A"/>
    <w:rsid w:val="00CD6642"/>
    <w:rsid w:val="00CD67C7"/>
    <w:rsid w:val="00CD6FC3"/>
    <w:rsid w:val="00CD70D8"/>
    <w:rsid w:val="00CD7770"/>
    <w:rsid w:val="00CD78E2"/>
    <w:rsid w:val="00CE02A0"/>
    <w:rsid w:val="00CE0536"/>
    <w:rsid w:val="00CE056D"/>
    <w:rsid w:val="00CE063A"/>
    <w:rsid w:val="00CE0B9F"/>
    <w:rsid w:val="00CE0BA4"/>
    <w:rsid w:val="00CE0BC0"/>
    <w:rsid w:val="00CE16FA"/>
    <w:rsid w:val="00CE1C94"/>
    <w:rsid w:val="00CE1F2C"/>
    <w:rsid w:val="00CE1FFD"/>
    <w:rsid w:val="00CE2065"/>
    <w:rsid w:val="00CE26A8"/>
    <w:rsid w:val="00CE2A27"/>
    <w:rsid w:val="00CE2BBD"/>
    <w:rsid w:val="00CE2CAF"/>
    <w:rsid w:val="00CE3113"/>
    <w:rsid w:val="00CE3196"/>
    <w:rsid w:val="00CE32BD"/>
    <w:rsid w:val="00CE3372"/>
    <w:rsid w:val="00CE3618"/>
    <w:rsid w:val="00CE37D1"/>
    <w:rsid w:val="00CE387C"/>
    <w:rsid w:val="00CE39F1"/>
    <w:rsid w:val="00CE3E8F"/>
    <w:rsid w:val="00CE3EE0"/>
    <w:rsid w:val="00CE40A1"/>
    <w:rsid w:val="00CE448B"/>
    <w:rsid w:val="00CE4648"/>
    <w:rsid w:val="00CE4692"/>
    <w:rsid w:val="00CE4777"/>
    <w:rsid w:val="00CE49A3"/>
    <w:rsid w:val="00CE4F09"/>
    <w:rsid w:val="00CE539D"/>
    <w:rsid w:val="00CE5553"/>
    <w:rsid w:val="00CE55EE"/>
    <w:rsid w:val="00CE5D14"/>
    <w:rsid w:val="00CE6063"/>
    <w:rsid w:val="00CE6464"/>
    <w:rsid w:val="00CE7568"/>
    <w:rsid w:val="00CE7776"/>
    <w:rsid w:val="00CE79B7"/>
    <w:rsid w:val="00CE7DAF"/>
    <w:rsid w:val="00CF0074"/>
    <w:rsid w:val="00CF0E3C"/>
    <w:rsid w:val="00CF0E52"/>
    <w:rsid w:val="00CF18EA"/>
    <w:rsid w:val="00CF197D"/>
    <w:rsid w:val="00CF1EA3"/>
    <w:rsid w:val="00CF2A5A"/>
    <w:rsid w:val="00CF2A5C"/>
    <w:rsid w:val="00CF2ADB"/>
    <w:rsid w:val="00CF2B6B"/>
    <w:rsid w:val="00CF2C60"/>
    <w:rsid w:val="00CF2C8A"/>
    <w:rsid w:val="00CF2CD4"/>
    <w:rsid w:val="00CF33C8"/>
    <w:rsid w:val="00CF3724"/>
    <w:rsid w:val="00CF3B8F"/>
    <w:rsid w:val="00CF3D0D"/>
    <w:rsid w:val="00CF3DE1"/>
    <w:rsid w:val="00CF4CD2"/>
    <w:rsid w:val="00CF4FDB"/>
    <w:rsid w:val="00CF57FA"/>
    <w:rsid w:val="00CF5974"/>
    <w:rsid w:val="00CF5D73"/>
    <w:rsid w:val="00CF5F93"/>
    <w:rsid w:val="00CF614E"/>
    <w:rsid w:val="00CF62C2"/>
    <w:rsid w:val="00CF64FF"/>
    <w:rsid w:val="00CF6692"/>
    <w:rsid w:val="00CF6CF8"/>
    <w:rsid w:val="00CF7593"/>
    <w:rsid w:val="00D00CA9"/>
    <w:rsid w:val="00D010AB"/>
    <w:rsid w:val="00D0123C"/>
    <w:rsid w:val="00D013FB"/>
    <w:rsid w:val="00D015C0"/>
    <w:rsid w:val="00D0165C"/>
    <w:rsid w:val="00D01BB3"/>
    <w:rsid w:val="00D01E60"/>
    <w:rsid w:val="00D01FAA"/>
    <w:rsid w:val="00D024AF"/>
    <w:rsid w:val="00D0285D"/>
    <w:rsid w:val="00D02AA3"/>
    <w:rsid w:val="00D03000"/>
    <w:rsid w:val="00D030A7"/>
    <w:rsid w:val="00D038B6"/>
    <w:rsid w:val="00D03D83"/>
    <w:rsid w:val="00D03E21"/>
    <w:rsid w:val="00D03E6F"/>
    <w:rsid w:val="00D04068"/>
    <w:rsid w:val="00D040A4"/>
    <w:rsid w:val="00D0424F"/>
    <w:rsid w:val="00D04768"/>
    <w:rsid w:val="00D04A05"/>
    <w:rsid w:val="00D04B9E"/>
    <w:rsid w:val="00D04C86"/>
    <w:rsid w:val="00D05712"/>
    <w:rsid w:val="00D0597E"/>
    <w:rsid w:val="00D059B8"/>
    <w:rsid w:val="00D05B34"/>
    <w:rsid w:val="00D05E72"/>
    <w:rsid w:val="00D05F7C"/>
    <w:rsid w:val="00D06264"/>
    <w:rsid w:val="00D062EB"/>
    <w:rsid w:val="00D067AB"/>
    <w:rsid w:val="00D06871"/>
    <w:rsid w:val="00D069B7"/>
    <w:rsid w:val="00D06C2F"/>
    <w:rsid w:val="00D07146"/>
    <w:rsid w:val="00D07885"/>
    <w:rsid w:val="00D07B91"/>
    <w:rsid w:val="00D104E4"/>
    <w:rsid w:val="00D106C3"/>
    <w:rsid w:val="00D107C3"/>
    <w:rsid w:val="00D108DC"/>
    <w:rsid w:val="00D10C57"/>
    <w:rsid w:val="00D10CC3"/>
    <w:rsid w:val="00D11254"/>
    <w:rsid w:val="00D11350"/>
    <w:rsid w:val="00D113AE"/>
    <w:rsid w:val="00D1227E"/>
    <w:rsid w:val="00D1235B"/>
    <w:rsid w:val="00D123C1"/>
    <w:rsid w:val="00D124FA"/>
    <w:rsid w:val="00D12B07"/>
    <w:rsid w:val="00D134D8"/>
    <w:rsid w:val="00D1366E"/>
    <w:rsid w:val="00D137BD"/>
    <w:rsid w:val="00D13C3D"/>
    <w:rsid w:val="00D1411C"/>
    <w:rsid w:val="00D141D5"/>
    <w:rsid w:val="00D1423A"/>
    <w:rsid w:val="00D14266"/>
    <w:rsid w:val="00D14732"/>
    <w:rsid w:val="00D14BC4"/>
    <w:rsid w:val="00D15487"/>
    <w:rsid w:val="00D1556C"/>
    <w:rsid w:val="00D1576E"/>
    <w:rsid w:val="00D15A49"/>
    <w:rsid w:val="00D15E75"/>
    <w:rsid w:val="00D161BD"/>
    <w:rsid w:val="00D1652B"/>
    <w:rsid w:val="00D1677B"/>
    <w:rsid w:val="00D16A43"/>
    <w:rsid w:val="00D16F1F"/>
    <w:rsid w:val="00D17074"/>
    <w:rsid w:val="00D174E5"/>
    <w:rsid w:val="00D17599"/>
    <w:rsid w:val="00D1793D"/>
    <w:rsid w:val="00D17CB7"/>
    <w:rsid w:val="00D17FA6"/>
    <w:rsid w:val="00D200FA"/>
    <w:rsid w:val="00D20145"/>
    <w:rsid w:val="00D20283"/>
    <w:rsid w:val="00D20867"/>
    <w:rsid w:val="00D20A7E"/>
    <w:rsid w:val="00D20CFB"/>
    <w:rsid w:val="00D2112F"/>
    <w:rsid w:val="00D216C6"/>
    <w:rsid w:val="00D21D35"/>
    <w:rsid w:val="00D221D9"/>
    <w:rsid w:val="00D2229A"/>
    <w:rsid w:val="00D224EE"/>
    <w:rsid w:val="00D22A06"/>
    <w:rsid w:val="00D22B10"/>
    <w:rsid w:val="00D22E1A"/>
    <w:rsid w:val="00D22F3A"/>
    <w:rsid w:val="00D234B0"/>
    <w:rsid w:val="00D23550"/>
    <w:rsid w:val="00D238C8"/>
    <w:rsid w:val="00D23AD0"/>
    <w:rsid w:val="00D2435A"/>
    <w:rsid w:val="00D24C08"/>
    <w:rsid w:val="00D24C28"/>
    <w:rsid w:val="00D24DDE"/>
    <w:rsid w:val="00D24E6A"/>
    <w:rsid w:val="00D24F05"/>
    <w:rsid w:val="00D25119"/>
    <w:rsid w:val="00D25FDF"/>
    <w:rsid w:val="00D26232"/>
    <w:rsid w:val="00D262B8"/>
    <w:rsid w:val="00D2650A"/>
    <w:rsid w:val="00D2655C"/>
    <w:rsid w:val="00D26AF2"/>
    <w:rsid w:val="00D26CE7"/>
    <w:rsid w:val="00D26D86"/>
    <w:rsid w:val="00D270AC"/>
    <w:rsid w:val="00D27166"/>
    <w:rsid w:val="00D271AD"/>
    <w:rsid w:val="00D27891"/>
    <w:rsid w:val="00D27EF3"/>
    <w:rsid w:val="00D3009C"/>
    <w:rsid w:val="00D3024C"/>
    <w:rsid w:val="00D30572"/>
    <w:rsid w:val="00D307DD"/>
    <w:rsid w:val="00D30928"/>
    <w:rsid w:val="00D30D75"/>
    <w:rsid w:val="00D30EBC"/>
    <w:rsid w:val="00D30F4A"/>
    <w:rsid w:val="00D310B8"/>
    <w:rsid w:val="00D31543"/>
    <w:rsid w:val="00D31713"/>
    <w:rsid w:val="00D318BE"/>
    <w:rsid w:val="00D31953"/>
    <w:rsid w:val="00D3198E"/>
    <w:rsid w:val="00D325C2"/>
    <w:rsid w:val="00D329B5"/>
    <w:rsid w:val="00D32B27"/>
    <w:rsid w:val="00D32B79"/>
    <w:rsid w:val="00D32CC1"/>
    <w:rsid w:val="00D3336B"/>
    <w:rsid w:val="00D33648"/>
    <w:rsid w:val="00D33684"/>
    <w:rsid w:val="00D33770"/>
    <w:rsid w:val="00D33AD7"/>
    <w:rsid w:val="00D33FE4"/>
    <w:rsid w:val="00D343DD"/>
    <w:rsid w:val="00D34404"/>
    <w:rsid w:val="00D3462E"/>
    <w:rsid w:val="00D34805"/>
    <w:rsid w:val="00D34961"/>
    <w:rsid w:val="00D35581"/>
    <w:rsid w:val="00D356F3"/>
    <w:rsid w:val="00D35889"/>
    <w:rsid w:val="00D35B9B"/>
    <w:rsid w:val="00D35EF0"/>
    <w:rsid w:val="00D362BB"/>
    <w:rsid w:val="00D36348"/>
    <w:rsid w:val="00D365C4"/>
    <w:rsid w:val="00D36782"/>
    <w:rsid w:val="00D36790"/>
    <w:rsid w:val="00D368C3"/>
    <w:rsid w:val="00D36B7E"/>
    <w:rsid w:val="00D36E97"/>
    <w:rsid w:val="00D36F7F"/>
    <w:rsid w:val="00D37436"/>
    <w:rsid w:val="00D377A4"/>
    <w:rsid w:val="00D37953"/>
    <w:rsid w:val="00D37A8E"/>
    <w:rsid w:val="00D37DE2"/>
    <w:rsid w:val="00D40090"/>
    <w:rsid w:val="00D40116"/>
    <w:rsid w:val="00D4076E"/>
    <w:rsid w:val="00D4080A"/>
    <w:rsid w:val="00D40AC9"/>
    <w:rsid w:val="00D41085"/>
    <w:rsid w:val="00D4124E"/>
    <w:rsid w:val="00D4138B"/>
    <w:rsid w:val="00D418C7"/>
    <w:rsid w:val="00D41A31"/>
    <w:rsid w:val="00D42430"/>
    <w:rsid w:val="00D4267D"/>
    <w:rsid w:val="00D427FC"/>
    <w:rsid w:val="00D4290F"/>
    <w:rsid w:val="00D42947"/>
    <w:rsid w:val="00D42BD6"/>
    <w:rsid w:val="00D43017"/>
    <w:rsid w:val="00D43275"/>
    <w:rsid w:val="00D433E3"/>
    <w:rsid w:val="00D4353B"/>
    <w:rsid w:val="00D4382C"/>
    <w:rsid w:val="00D43DE3"/>
    <w:rsid w:val="00D43F98"/>
    <w:rsid w:val="00D44268"/>
    <w:rsid w:val="00D4430C"/>
    <w:rsid w:val="00D4487B"/>
    <w:rsid w:val="00D452E6"/>
    <w:rsid w:val="00D45523"/>
    <w:rsid w:val="00D4580C"/>
    <w:rsid w:val="00D45810"/>
    <w:rsid w:val="00D45926"/>
    <w:rsid w:val="00D45DCC"/>
    <w:rsid w:val="00D4603C"/>
    <w:rsid w:val="00D4626C"/>
    <w:rsid w:val="00D462D2"/>
    <w:rsid w:val="00D46625"/>
    <w:rsid w:val="00D46717"/>
    <w:rsid w:val="00D468F9"/>
    <w:rsid w:val="00D470FB"/>
    <w:rsid w:val="00D47241"/>
    <w:rsid w:val="00D4790F"/>
    <w:rsid w:val="00D47B46"/>
    <w:rsid w:val="00D47C6D"/>
    <w:rsid w:val="00D47D66"/>
    <w:rsid w:val="00D47F08"/>
    <w:rsid w:val="00D50587"/>
    <w:rsid w:val="00D508BD"/>
    <w:rsid w:val="00D50961"/>
    <w:rsid w:val="00D50A69"/>
    <w:rsid w:val="00D50B20"/>
    <w:rsid w:val="00D50D4F"/>
    <w:rsid w:val="00D50DB3"/>
    <w:rsid w:val="00D51056"/>
    <w:rsid w:val="00D51940"/>
    <w:rsid w:val="00D51A83"/>
    <w:rsid w:val="00D51BB2"/>
    <w:rsid w:val="00D51CB8"/>
    <w:rsid w:val="00D51E4E"/>
    <w:rsid w:val="00D5237D"/>
    <w:rsid w:val="00D5250E"/>
    <w:rsid w:val="00D52A5E"/>
    <w:rsid w:val="00D52AE0"/>
    <w:rsid w:val="00D535D7"/>
    <w:rsid w:val="00D53714"/>
    <w:rsid w:val="00D53CE3"/>
    <w:rsid w:val="00D543D5"/>
    <w:rsid w:val="00D545EB"/>
    <w:rsid w:val="00D54838"/>
    <w:rsid w:val="00D54AA8"/>
    <w:rsid w:val="00D551BD"/>
    <w:rsid w:val="00D551EB"/>
    <w:rsid w:val="00D551F5"/>
    <w:rsid w:val="00D55413"/>
    <w:rsid w:val="00D55435"/>
    <w:rsid w:val="00D55B4A"/>
    <w:rsid w:val="00D560BA"/>
    <w:rsid w:val="00D56399"/>
    <w:rsid w:val="00D5689C"/>
    <w:rsid w:val="00D56D05"/>
    <w:rsid w:val="00D56E8F"/>
    <w:rsid w:val="00D56FB7"/>
    <w:rsid w:val="00D57301"/>
    <w:rsid w:val="00D575E6"/>
    <w:rsid w:val="00D577D2"/>
    <w:rsid w:val="00D5798C"/>
    <w:rsid w:val="00D57D45"/>
    <w:rsid w:val="00D57FF1"/>
    <w:rsid w:val="00D602B2"/>
    <w:rsid w:val="00D607A1"/>
    <w:rsid w:val="00D607CF"/>
    <w:rsid w:val="00D60C33"/>
    <w:rsid w:val="00D60EB2"/>
    <w:rsid w:val="00D60ECD"/>
    <w:rsid w:val="00D610C6"/>
    <w:rsid w:val="00D6155E"/>
    <w:rsid w:val="00D61B3C"/>
    <w:rsid w:val="00D61DDD"/>
    <w:rsid w:val="00D61F12"/>
    <w:rsid w:val="00D6219E"/>
    <w:rsid w:val="00D621AE"/>
    <w:rsid w:val="00D6244A"/>
    <w:rsid w:val="00D62520"/>
    <w:rsid w:val="00D633E1"/>
    <w:rsid w:val="00D634FF"/>
    <w:rsid w:val="00D63A66"/>
    <w:rsid w:val="00D63A79"/>
    <w:rsid w:val="00D640B0"/>
    <w:rsid w:val="00D6422C"/>
    <w:rsid w:val="00D64FFD"/>
    <w:rsid w:val="00D65E88"/>
    <w:rsid w:val="00D664B9"/>
    <w:rsid w:val="00D66739"/>
    <w:rsid w:val="00D669F1"/>
    <w:rsid w:val="00D66A9C"/>
    <w:rsid w:val="00D66BCD"/>
    <w:rsid w:val="00D66C09"/>
    <w:rsid w:val="00D66FB5"/>
    <w:rsid w:val="00D673A9"/>
    <w:rsid w:val="00D678E7"/>
    <w:rsid w:val="00D67C76"/>
    <w:rsid w:val="00D67D87"/>
    <w:rsid w:val="00D67F29"/>
    <w:rsid w:val="00D67F67"/>
    <w:rsid w:val="00D67FE3"/>
    <w:rsid w:val="00D70359"/>
    <w:rsid w:val="00D70A25"/>
    <w:rsid w:val="00D70EA3"/>
    <w:rsid w:val="00D70ED8"/>
    <w:rsid w:val="00D70EE7"/>
    <w:rsid w:val="00D7115F"/>
    <w:rsid w:val="00D71807"/>
    <w:rsid w:val="00D71975"/>
    <w:rsid w:val="00D71B36"/>
    <w:rsid w:val="00D7221E"/>
    <w:rsid w:val="00D72575"/>
    <w:rsid w:val="00D72AB3"/>
    <w:rsid w:val="00D72AC1"/>
    <w:rsid w:val="00D72AED"/>
    <w:rsid w:val="00D72BED"/>
    <w:rsid w:val="00D72DD5"/>
    <w:rsid w:val="00D72F6F"/>
    <w:rsid w:val="00D730CD"/>
    <w:rsid w:val="00D730D5"/>
    <w:rsid w:val="00D736E7"/>
    <w:rsid w:val="00D73953"/>
    <w:rsid w:val="00D73BAD"/>
    <w:rsid w:val="00D74118"/>
    <w:rsid w:val="00D741CF"/>
    <w:rsid w:val="00D74287"/>
    <w:rsid w:val="00D74356"/>
    <w:rsid w:val="00D74BBD"/>
    <w:rsid w:val="00D75096"/>
    <w:rsid w:val="00D750B9"/>
    <w:rsid w:val="00D75297"/>
    <w:rsid w:val="00D754EC"/>
    <w:rsid w:val="00D75C3C"/>
    <w:rsid w:val="00D75C40"/>
    <w:rsid w:val="00D77133"/>
    <w:rsid w:val="00D775F2"/>
    <w:rsid w:val="00D778BF"/>
    <w:rsid w:val="00D779AA"/>
    <w:rsid w:val="00D779C4"/>
    <w:rsid w:val="00D779D6"/>
    <w:rsid w:val="00D77DA7"/>
    <w:rsid w:val="00D80373"/>
    <w:rsid w:val="00D8044D"/>
    <w:rsid w:val="00D80D2B"/>
    <w:rsid w:val="00D8156D"/>
    <w:rsid w:val="00D816EA"/>
    <w:rsid w:val="00D81737"/>
    <w:rsid w:val="00D81766"/>
    <w:rsid w:val="00D81B6B"/>
    <w:rsid w:val="00D81DDF"/>
    <w:rsid w:val="00D824AE"/>
    <w:rsid w:val="00D82656"/>
    <w:rsid w:val="00D82B57"/>
    <w:rsid w:val="00D8344C"/>
    <w:rsid w:val="00D835E3"/>
    <w:rsid w:val="00D83800"/>
    <w:rsid w:val="00D83E05"/>
    <w:rsid w:val="00D84599"/>
    <w:rsid w:val="00D84644"/>
    <w:rsid w:val="00D84770"/>
    <w:rsid w:val="00D84A31"/>
    <w:rsid w:val="00D84BD8"/>
    <w:rsid w:val="00D84E87"/>
    <w:rsid w:val="00D860EB"/>
    <w:rsid w:val="00D8631C"/>
    <w:rsid w:val="00D86384"/>
    <w:rsid w:val="00D864CD"/>
    <w:rsid w:val="00D865E6"/>
    <w:rsid w:val="00D87016"/>
    <w:rsid w:val="00D8713C"/>
    <w:rsid w:val="00D87749"/>
    <w:rsid w:val="00D8781C"/>
    <w:rsid w:val="00D87959"/>
    <w:rsid w:val="00D87EC2"/>
    <w:rsid w:val="00D87FB9"/>
    <w:rsid w:val="00D90001"/>
    <w:rsid w:val="00D904E9"/>
    <w:rsid w:val="00D90516"/>
    <w:rsid w:val="00D906EE"/>
    <w:rsid w:val="00D918FB"/>
    <w:rsid w:val="00D91C26"/>
    <w:rsid w:val="00D91C3A"/>
    <w:rsid w:val="00D91FE2"/>
    <w:rsid w:val="00D92F47"/>
    <w:rsid w:val="00D9340D"/>
    <w:rsid w:val="00D93F07"/>
    <w:rsid w:val="00D93F3B"/>
    <w:rsid w:val="00D943B0"/>
    <w:rsid w:val="00D946E8"/>
    <w:rsid w:val="00D94B1F"/>
    <w:rsid w:val="00D94E4A"/>
    <w:rsid w:val="00D94FD3"/>
    <w:rsid w:val="00D95369"/>
    <w:rsid w:val="00D9570E"/>
    <w:rsid w:val="00D958F1"/>
    <w:rsid w:val="00D959C3"/>
    <w:rsid w:val="00D95BD8"/>
    <w:rsid w:val="00D963E8"/>
    <w:rsid w:val="00D96B3A"/>
    <w:rsid w:val="00D96B45"/>
    <w:rsid w:val="00D96CA6"/>
    <w:rsid w:val="00D9711D"/>
    <w:rsid w:val="00D97390"/>
    <w:rsid w:val="00D978F0"/>
    <w:rsid w:val="00D97A25"/>
    <w:rsid w:val="00D97A7B"/>
    <w:rsid w:val="00D97C0D"/>
    <w:rsid w:val="00D97D17"/>
    <w:rsid w:val="00D97DB7"/>
    <w:rsid w:val="00DA0035"/>
    <w:rsid w:val="00DA0144"/>
    <w:rsid w:val="00DA0342"/>
    <w:rsid w:val="00DA0465"/>
    <w:rsid w:val="00DA08DA"/>
    <w:rsid w:val="00DA0ADD"/>
    <w:rsid w:val="00DA0D79"/>
    <w:rsid w:val="00DA11C4"/>
    <w:rsid w:val="00DA200A"/>
    <w:rsid w:val="00DA218E"/>
    <w:rsid w:val="00DA25C4"/>
    <w:rsid w:val="00DA289F"/>
    <w:rsid w:val="00DA2AF0"/>
    <w:rsid w:val="00DA3030"/>
    <w:rsid w:val="00DA3032"/>
    <w:rsid w:val="00DA310F"/>
    <w:rsid w:val="00DA366B"/>
    <w:rsid w:val="00DA366C"/>
    <w:rsid w:val="00DA3686"/>
    <w:rsid w:val="00DA3C6E"/>
    <w:rsid w:val="00DA48C8"/>
    <w:rsid w:val="00DA48DF"/>
    <w:rsid w:val="00DA4D7E"/>
    <w:rsid w:val="00DA5399"/>
    <w:rsid w:val="00DA5828"/>
    <w:rsid w:val="00DA5A4B"/>
    <w:rsid w:val="00DA5F1D"/>
    <w:rsid w:val="00DA6254"/>
    <w:rsid w:val="00DA6299"/>
    <w:rsid w:val="00DA6373"/>
    <w:rsid w:val="00DA6411"/>
    <w:rsid w:val="00DA7099"/>
    <w:rsid w:val="00DA71A9"/>
    <w:rsid w:val="00DA7984"/>
    <w:rsid w:val="00DA7B77"/>
    <w:rsid w:val="00DA7DD6"/>
    <w:rsid w:val="00DA7EB3"/>
    <w:rsid w:val="00DB0095"/>
    <w:rsid w:val="00DB00FD"/>
    <w:rsid w:val="00DB01D5"/>
    <w:rsid w:val="00DB0887"/>
    <w:rsid w:val="00DB0925"/>
    <w:rsid w:val="00DB09C7"/>
    <w:rsid w:val="00DB158C"/>
    <w:rsid w:val="00DB17D1"/>
    <w:rsid w:val="00DB19C5"/>
    <w:rsid w:val="00DB1A1E"/>
    <w:rsid w:val="00DB1BDB"/>
    <w:rsid w:val="00DB1C63"/>
    <w:rsid w:val="00DB1E75"/>
    <w:rsid w:val="00DB1E99"/>
    <w:rsid w:val="00DB1F49"/>
    <w:rsid w:val="00DB202B"/>
    <w:rsid w:val="00DB2403"/>
    <w:rsid w:val="00DB2422"/>
    <w:rsid w:val="00DB2BA6"/>
    <w:rsid w:val="00DB3862"/>
    <w:rsid w:val="00DB3A1F"/>
    <w:rsid w:val="00DB3A46"/>
    <w:rsid w:val="00DB3BC2"/>
    <w:rsid w:val="00DB3CA4"/>
    <w:rsid w:val="00DB3F05"/>
    <w:rsid w:val="00DB4185"/>
    <w:rsid w:val="00DB4463"/>
    <w:rsid w:val="00DB46C8"/>
    <w:rsid w:val="00DB48F2"/>
    <w:rsid w:val="00DB4D2D"/>
    <w:rsid w:val="00DB4DF9"/>
    <w:rsid w:val="00DB4EED"/>
    <w:rsid w:val="00DB5020"/>
    <w:rsid w:val="00DB528D"/>
    <w:rsid w:val="00DB586E"/>
    <w:rsid w:val="00DB59B1"/>
    <w:rsid w:val="00DB5F74"/>
    <w:rsid w:val="00DB60B2"/>
    <w:rsid w:val="00DB6654"/>
    <w:rsid w:val="00DB6B10"/>
    <w:rsid w:val="00DB6D56"/>
    <w:rsid w:val="00DB73DD"/>
    <w:rsid w:val="00DB7748"/>
    <w:rsid w:val="00DB77C9"/>
    <w:rsid w:val="00DB7807"/>
    <w:rsid w:val="00DB798A"/>
    <w:rsid w:val="00DB79D8"/>
    <w:rsid w:val="00DB7FEF"/>
    <w:rsid w:val="00DC02D3"/>
    <w:rsid w:val="00DC053A"/>
    <w:rsid w:val="00DC05AE"/>
    <w:rsid w:val="00DC0DA3"/>
    <w:rsid w:val="00DC0E09"/>
    <w:rsid w:val="00DC15B4"/>
    <w:rsid w:val="00DC211B"/>
    <w:rsid w:val="00DC24DB"/>
    <w:rsid w:val="00DC2998"/>
    <w:rsid w:val="00DC2D4D"/>
    <w:rsid w:val="00DC2D5D"/>
    <w:rsid w:val="00DC2EF0"/>
    <w:rsid w:val="00DC302E"/>
    <w:rsid w:val="00DC30D7"/>
    <w:rsid w:val="00DC3EB3"/>
    <w:rsid w:val="00DC4222"/>
    <w:rsid w:val="00DC45B8"/>
    <w:rsid w:val="00DC4B55"/>
    <w:rsid w:val="00DC52CA"/>
    <w:rsid w:val="00DC535C"/>
    <w:rsid w:val="00DC5946"/>
    <w:rsid w:val="00DC5A53"/>
    <w:rsid w:val="00DC5C92"/>
    <w:rsid w:val="00DC5D78"/>
    <w:rsid w:val="00DC5D8D"/>
    <w:rsid w:val="00DC5DF0"/>
    <w:rsid w:val="00DC5E6B"/>
    <w:rsid w:val="00DC5FA1"/>
    <w:rsid w:val="00DC602B"/>
    <w:rsid w:val="00DC6087"/>
    <w:rsid w:val="00DC6560"/>
    <w:rsid w:val="00DC66CF"/>
    <w:rsid w:val="00DC6919"/>
    <w:rsid w:val="00DC6963"/>
    <w:rsid w:val="00DC6D10"/>
    <w:rsid w:val="00DC6F13"/>
    <w:rsid w:val="00DC7222"/>
    <w:rsid w:val="00DC75ED"/>
    <w:rsid w:val="00DC78E0"/>
    <w:rsid w:val="00DC7B08"/>
    <w:rsid w:val="00DC7C2D"/>
    <w:rsid w:val="00DD05AA"/>
    <w:rsid w:val="00DD08D8"/>
    <w:rsid w:val="00DD0D72"/>
    <w:rsid w:val="00DD119F"/>
    <w:rsid w:val="00DD1CA6"/>
    <w:rsid w:val="00DD260A"/>
    <w:rsid w:val="00DD260F"/>
    <w:rsid w:val="00DD2A0F"/>
    <w:rsid w:val="00DD2A12"/>
    <w:rsid w:val="00DD2CAF"/>
    <w:rsid w:val="00DD3054"/>
    <w:rsid w:val="00DD3250"/>
    <w:rsid w:val="00DD35B9"/>
    <w:rsid w:val="00DD35E2"/>
    <w:rsid w:val="00DD3761"/>
    <w:rsid w:val="00DD38CD"/>
    <w:rsid w:val="00DD38DE"/>
    <w:rsid w:val="00DD4511"/>
    <w:rsid w:val="00DD45BF"/>
    <w:rsid w:val="00DD467C"/>
    <w:rsid w:val="00DD47BD"/>
    <w:rsid w:val="00DD49CA"/>
    <w:rsid w:val="00DD4ADA"/>
    <w:rsid w:val="00DD4E0D"/>
    <w:rsid w:val="00DD51E5"/>
    <w:rsid w:val="00DD5B00"/>
    <w:rsid w:val="00DD5F53"/>
    <w:rsid w:val="00DD6084"/>
    <w:rsid w:val="00DD62FB"/>
    <w:rsid w:val="00DD636F"/>
    <w:rsid w:val="00DD6487"/>
    <w:rsid w:val="00DD690B"/>
    <w:rsid w:val="00DD6AEE"/>
    <w:rsid w:val="00DD6B2A"/>
    <w:rsid w:val="00DD6DB1"/>
    <w:rsid w:val="00DD6DE8"/>
    <w:rsid w:val="00DD7BB5"/>
    <w:rsid w:val="00DD7E4A"/>
    <w:rsid w:val="00DE03E8"/>
    <w:rsid w:val="00DE05C8"/>
    <w:rsid w:val="00DE070F"/>
    <w:rsid w:val="00DE08A5"/>
    <w:rsid w:val="00DE09D2"/>
    <w:rsid w:val="00DE0A73"/>
    <w:rsid w:val="00DE0FC8"/>
    <w:rsid w:val="00DE13D5"/>
    <w:rsid w:val="00DE182F"/>
    <w:rsid w:val="00DE1BB1"/>
    <w:rsid w:val="00DE2008"/>
    <w:rsid w:val="00DE22BE"/>
    <w:rsid w:val="00DE25D7"/>
    <w:rsid w:val="00DE2954"/>
    <w:rsid w:val="00DE29AF"/>
    <w:rsid w:val="00DE2AE7"/>
    <w:rsid w:val="00DE2E5D"/>
    <w:rsid w:val="00DE2EA3"/>
    <w:rsid w:val="00DE2EBD"/>
    <w:rsid w:val="00DE3144"/>
    <w:rsid w:val="00DE3158"/>
    <w:rsid w:val="00DE33AF"/>
    <w:rsid w:val="00DE33BA"/>
    <w:rsid w:val="00DE399D"/>
    <w:rsid w:val="00DE3D2C"/>
    <w:rsid w:val="00DE3F9B"/>
    <w:rsid w:val="00DE3FC4"/>
    <w:rsid w:val="00DE4337"/>
    <w:rsid w:val="00DE4492"/>
    <w:rsid w:val="00DE44DD"/>
    <w:rsid w:val="00DE45EC"/>
    <w:rsid w:val="00DE4821"/>
    <w:rsid w:val="00DE4AC9"/>
    <w:rsid w:val="00DE4B28"/>
    <w:rsid w:val="00DE4FF4"/>
    <w:rsid w:val="00DE51BC"/>
    <w:rsid w:val="00DE54FB"/>
    <w:rsid w:val="00DE5681"/>
    <w:rsid w:val="00DE5889"/>
    <w:rsid w:val="00DE6119"/>
    <w:rsid w:val="00DE706F"/>
    <w:rsid w:val="00DE70A8"/>
    <w:rsid w:val="00DE7DEA"/>
    <w:rsid w:val="00DE7F66"/>
    <w:rsid w:val="00DF01A9"/>
    <w:rsid w:val="00DF04F8"/>
    <w:rsid w:val="00DF07F8"/>
    <w:rsid w:val="00DF0D3B"/>
    <w:rsid w:val="00DF0E9E"/>
    <w:rsid w:val="00DF0EE5"/>
    <w:rsid w:val="00DF105C"/>
    <w:rsid w:val="00DF112F"/>
    <w:rsid w:val="00DF11D3"/>
    <w:rsid w:val="00DF1960"/>
    <w:rsid w:val="00DF1FED"/>
    <w:rsid w:val="00DF219A"/>
    <w:rsid w:val="00DF2581"/>
    <w:rsid w:val="00DF2610"/>
    <w:rsid w:val="00DF270C"/>
    <w:rsid w:val="00DF2B0B"/>
    <w:rsid w:val="00DF3005"/>
    <w:rsid w:val="00DF3136"/>
    <w:rsid w:val="00DF318E"/>
    <w:rsid w:val="00DF33C1"/>
    <w:rsid w:val="00DF3521"/>
    <w:rsid w:val="00DF3619"/>
    <w:rsid w:val="00DF3BC6"/>
    <w:rsid w:val="00DF3CF7"/>
    <w:rsid w:val="00DF429C"/>
    <w:rsid w:val="00DF466A"/>
    <w:rsid w:val="00DF477C"/>
    <w:rsid w:val="00DF4853"/>
    <w:rsid w:val="00DF49CB"/>
    <w:rsid w:val="00DF5162"/>
    <w:rsid w:val="00DF527C"/>
    <w:rsid w:val="00DF5770"/>
    <w:rsid w:val="00DF5A6D"/>
    <w:rsid w:val="00DF5AE9"/>
    <w:rsid w:val="00DF5ED4"/>
    <w:rsid w:val="00DF6088"/>
    <w:rsid w:val="00DF67A7"/>
    <w:rsid w:val="00DF67BB"/>
    <w:rsid w:val="00DF6D2B"/>
    <w:rsid w:val="00DF6ECB"/>
    <w:rsid w:val="00DF6F87"/>
    <w:rsid w:val="00DF74B3"/>
    <w:rsid w:val="00DF75E7"/>
    <w:rsid w:val="00DF7852"/>
    <w:rsid w:val="00DF78D0"/>
    <w:rsid w:val="00DF7B59"/>
    <w:rsid w:val="00DF7BE1"/>
    <w:rsid w:val="00E00139"/>
    <w:rsid w:val="00E003A4"/>
    <w:rsid w:val="00E003AB"/>
    <w:rsid w:val="00E005D7"/>
    <w:rsid w:val="00E00609"/>
    <w:rsid w:val="00E007EB"/>
    <w:rsid w:val="00E00D29"/>
    <w:rsid w:val="00E00FBD"/>
    <w:rsid w:val="00E0131A"/>
    <w:rsid w:val="00E01929"/>
    <w:rsid w:val="00E01974"/>
    <w:rsid w:val="00E01BFE"/>
    <w:rsid w:val="00E01DA1"/>
    <w:rsid w:val="00E01E6C"/>
    <w:rsid w:val="00E027B4"/>
    <w:rsid w:val="00E02906"/>
    <w:rsid w:val="00E02CF4"/>
    <w:rsid w:val="00E02D80"/>
    <w:rsid w:val="00E02ED5"/>
    <w:rsid w:val="00E03073"/>
    <w:rsid w:val="00E031B0"/>
    <w:rsid w:val="00E031B7"/>
    <w:rsid w:val="00E0360F"/>
    <w:rsid w:val="00E03679"/>
    <w:rsid w:val="00E0370C"/>
    <w:rsid w:val="00E038BF"/>
    <w:rsid w:val="00E03B67"/>
    <w:rsid w:val="00E041EE"/>
    <w:rsid w:val="00E04212"/>
    <w:rsid w:val="00E044E1"/>
    <w:rsid w:val="00E04865"/>
    <w:rsid w:val="00E04A47"/>
    <w:rsid w:val="00E04ABC"/>
    <w:rsid w:val="00E04BD3"/>
    <w:rsid w:val="00E04D8C"/>
    <w:rsid w:val="00E05277"/>
    <w:rsid w:val="00E0530E"/>
    <w:rsid w:val="00E05379"/>
    <w:rsid w:val="00E054CE"/>
    <w:rsid w:val="00E0591B"/>
    <w:rsid w:val="00E05979"/>
    <w:rsid w:val="00E059BD"/>
    <w:rsid w:val="00E05F44"/>
    <w:rsid w:val="00E0607C"/>
    <w:rsid w:val="00E06158"/>
    <w:rsid w:val="00E06A52"/>
    <w:rsid w:val="00E06B9B"/>
    <w:rsid w:val="00E06C72"/>
    <w:rsid w:val="00E070BC"/>
    <w:rsid w:val="00E0745B"/>
    <w:rsid w:val="00E074DD"/>
    <w:rsid w:val="00E07654"/>
    <w:rsid w:val="00E07A1A"/>
    <w:rsid w:val="00E07AC0"/>
    <w:rsid w:val="00E07B3D"/>
    <w:rsid w:val="00E07C45"/>
    <w:rsid w:val="00E07C77"/>
    <w:rsid w:val="00E07E66"/>
    <w:rsid w:val="00E07F52"/>
    <w:rsid w:val="00E101B3"/>
    <w:rsid w:val="00E10C74"/>
    <w:rsid w:val="00E10CD5"/>
    <w:rsid w:val="00E11126"/>
    <w:rsid w:val="00E1137A"/>
    <w:rsid w:val="00E11595"/>
    <w:rsid w:val="00E11623"/>
    <w:rsid w:val="00E119D9"/>
    <w:rsid w:val="00E11CB2"/>
    <w:rsid w:val="00E11DD6"/>
    <w:rsid w:val="00E128FE"/>
    <w:rsid w:val="00E12B93"/>
    <w:rsid w:val="00E12C8C"/>
    <w:rsid w:val="00E13133"/>
    <w:rsid w:val="00E13636"/>
    <w:rsid w:val="00E13DC1"/>
    <w:rsid w:val="00E1401B"/>
    <w:rsid w:val="00E14222"/>
    <w:rsid w:val="00E1437E"/>
    <w:rsid w:val="00E146D9"/>
    <w:rsid w:val="00E14B57"/>
    <w:rsid w:val="00E14E2D"/>
    <w:rsid w:val="00E15170"/>
    <w:rsid w:val="00E15188"/>
    <w:rsid w:val="00E1536A"/>
    <w:rsid w:val="00E154A5"/>
    <w:rsid w:val="00E15D84"/>
    <w:rsid w:val="00E164A1"/>
    <w:rsid w:val="00E16DB6"/>
    <w:rsid w:val="00E16DDF"/>
    <w:rsid w:val="00E16F76"/>
    <w:rsid w:val="00E17349"/>
    <w:rsid w:val="00E17488"/>
    <w:rsid w:val="00E17CB9"/>
    <w:rsid w:val="00E20567"/>
    <w:rsid w:val="00E207F3"/>
    <w:rsid w:val="00E20AB6"/>
    <w:rsid w:val="00E20CAE"/>
    <w:rsid w:val="00E20DDD"/>
    <w:rsid w:val="00E212AF"/>
    <w:rsid w:val="00E213A9"/>
    <w:rsid w:val="00E213B8"/>
    <w:rsid w:val="00E2150A"/>
    <w:rsid w:val="00E21835"/>
    <w:rsid w:val="00E21C3F"/>
    <w:rsid w:val="00E227C1"/>
    <w:rsid w:val="00E22B38"/>
    <w:rsid w:val="00E22CA5"/>
    <w:rsid w:val="00E22CDA"/>
    <w:rsid w:val="00E22DD3"/>
    <w:rsid w:val="00E22E37"/>
    <w:rsid w:val="00E233F8"/>
    <w:rsid w:val="00E234B5"/>
    <w:rsid w:val="00E236A3"/>
    <w:rsid w:val="00E237AE"/>
    <w:rsid w:val="00E23D69"/>
    <w:rsid w:val="00E24378"/>
    <w:rsid w:val="00E249ED"/>
    <w:rsid w:val="00E257B0"/>
    <w:rsid w:val="00E25B79"/>
    <w:rsid w:val="00E25FA7"/>
    <w:rsid w:val="00E2608E"/>
    <w:rsid w:val="00E2634B"/>
    <w:rsid w:val="00E2659B"/>
    <w:rsid w:val="00E268EA"/>
    <w:rsid w:val="00E26DDE"/>
    <w:rsid w:val="00E271D1"/>
    <w:rsid w:val="00E27544"/>
    <w:rsid w:val="00E27554"/>
    <w:rsid w:val="00E27783"/>
    <w:rsid w:val="00E279AF"/>
    <w:rsid w:val="00E30046"/>
    <w:rsid w:val="00E3006F"/>
    <w:rsid w:val="00E300B3"/>
    <w:rsid w:val="00E307A7"/>
    <w:rsid w:val="00E30A29"/>
    <w:rsid w:val="00E30AB3"/>
    <w:rsid w:val="00E312C2"/>
    <w:rsid w:val="00E31C6C"/>
    <w:rsid w:val="00E31CB2"/>
    <w:rsid w:val="00E31D64"/>
    <w:rsid w:val="00E31E0B"/>
    <w:rsid w:val="00E32513"/>
    <w:rsid w:val="00E32C61"/>
    <w:rsid w:val="00E32DC3"/>
    <w:rsid w:val="00E32EBA"/>
    <w:rsid w:val="00E33001"/>
    <w:rsid w:val="00E330DC"/>
    <w:rsid w:val="00E33147"/>
    <w:rsid w:val="00E340F6"/>
    <w:rsid w:val="00E34929"/>
    <w:rsid w:val="00E34955"/>
    <w:rsid w:val="00E34A42"/>
    <w:rsid w:val="00E34EAC"/>
    <w:rsid w:val="00E34F9C"/>
    <w:rsid w:val="00E350D0"/>
    <w:rsid w:val="00E352CE"/>
    <w:rsid w:val="00E35B65"/>
    <w:rsid w:val="00E35CFA"/>
    <w:rsid w:val="00E35E1E"/>
    <w:rsid w:val="00E35E30"/>
    <w:rsid w:val="00E35F3E"/>
    <w:rsid w:val="00E36087"/>
    <w:rsid w:val="00E3640C"/>
    <w:rsid w:val="00E365F8"/>
    <w:rsid w:val="00E3688F"/>
    <w:rsid w:val="00E369E3"/>
    <w:rsid w:val="00E37063"/>
    <w:rsid w:val="00E379C8"/>
    <w:rsid w:val="00E37F57"/>
    <w:rsid w:val="00E37F88"/>
    <w:rsid w:val="00E40037"/>
    <w:rsid w:val="00E4003D"/>
    <w:rsid w:val="00E406B0"/>
    <w:rsid w:val="00E407EE"/>
    <w:rsid w:val="00E410B6"/>
    <w:rsid w:val="00E413C9"/>
    <w:rsid w:val="00E41CB0"/>
    <w:rsid w:val="00E41D8A"/>
    <w:rsid w:val="00E42265"/>
    <w:rsid w:val="00E42489"/>
    <w:rsid w:val="00E4261B"/>
    <w:rsid w:val="00E427AF"/>
    <w:rsid w:val="00E42AD7"/>
    <w:rsid w:val="00E42B0A"/>
    <w:rsid w:val="00E430C1"/>
    <w:rsid w:val="00E43912"/>
    <w:rsid w:val="00E43CDB"/>
    <w:rsid w:val="00E444C9"/>
    <w:rsid w:val="00E44748"/>
    <w:rsid w:val="00E44F60"/>
    <w:rsid w:val="00E450DC"/>
    <w:rsid w:val="00E4569B"/>
    <w:rsid w:val="00E45855"/>
    <w:rsid w:val="00E45C14"/>
    <w:rsid w:val="00E45C6A"/>
    <w:rsid w:val="00E45CDB"/>
    <w:rsid w:val="00E45E94"/>
    <w:rsid w:val="00E4649F"/>
    <w:rsid w:val="00E4689C"/>
    <w:rsid w:val="00E46A4F"/>
    <w:rsid w:val="00E46C0B"/>
    <w:rsid w:val="00E47112"/>
    <w:rsid w:val="00E47144"/>
    <w:rsid w:val="00E4747A"/>
    <w:rsid w:val="00E476A2"/>
    <w:rsid w:val="00E4787C"/>
    <w:rsid w:val="00E47B81"/>
    <w:rsid w:val="00E47B9F"/>
    <w:rsid w:val="00E47CC5"/>
    <w:rsid w:val="00E502E2"/>
    <w:rsid w:val="00E5075E"/>
    <w:rsid w:val="00E50833"/>
    <w:rsid w:val="00E50CD6"/>
    <w:rsid w:val="00E50E24"/>
    <w:rsid w:val="00E511C5"/>
    <w:rsid w:val="00E512D4"/>
    <w:rsid w:val="00E51810"/>
    <w:rsid w:val="00E5185F"/>
    <w:rsid w:val="00E51F6B"/>
    <w:rsid w:val="00E5217D"/>
    <w:rsid w:val="00E52EE1"/>
    <w:rsid w:val="00E53092"/>
    <w:rsid w:val="00E530A5"/>
    <w:rsid w:val="00E53199"/>
    <w:rsid w:val="00E5321C"/>
    <w:rsid w:val="00E533E2"/>
    <w:rsid w:val="00E5346C"/>
    <w:rsid w:val="00E534BD"/>
    <w:rsid w:val="00E539C5"/>
    <w:rsid w:val="00E53BEA"/>
    <w:rsid w:val="00E53D95"/>
    <w:rsid w:val="00E53DB8"/>
    <w:rsid w:val="00E540FA"/>
    <w:rsid w:val="00E5430B"/>
    <w:rsid w:val="00E54C62"/>
    <w:rsid w:val="00E54C7B"/>
    <w:rsid w:val="00E54FA5"/>
    <w:rsid w:val="00E55A13"/>
    <w:rsid w:val="00E55A32"/>
    <w:rsid w:val="00E55B69"/>
    <w:rsid w:val="00E55D4E"/>
    <w:rsid w:val="00E55EA7"/>
    <w:rsid w:val="00E567D2"/>
    <w:rsid w:val="00E56815"/>
    <w:rsid w:val="00E568B9"/>
    <w:rsid w:val="00E56A59"/>
    <w:rsid w:val="00E56B4E"/>
    <w:rsid w:val="00E56F1C"/>
    <w:rsid w:val="00E5708A"/>
    <w:rsid w:val="00E57482"/>
    <w:rsid w:val="00E60003"/>
    <w:rsid w:val="00E6022C"/>
    <w:rsid w:val="00E603D7"/>
    <w:rsid w:val="00E60420"/>
    <w:rsid w:val="00E6055F"/>
    <w:rsid w:val="00E605F1"/>
    <w:rsid w:val="00E60F8C"/>
    <w:rsid w:val="00E60FF5"/>
    <w:rsid w:val="00E61588"/>
    <w:rsid w:val="00E61ADA"/>
    <w:rsid w:val="00E62051"/>
    <w:rsid w:val="00E62157"/>
    <w:rsid w:val="00E62480"/>
    <w:rsid w:val="00E624D7"/>
    <w:rsid w:val="00E624F7"/>
    <w:rsid w:val="00E62784"/>
    <w:rsid w:val="00E62930"/>
    <w:rsid w:val="00E62F9E"/>
    <w:rsid w:val="00E62FBD"/>
    <w:rsid w:val="00E634F0"/>
    <w:rsid w:val="00E637CE"/>
    <w:rsid w:val="00E6385E"/>
    <w:rsid w:val="00E63DC8"/>
    <w:rsid w:val="00E63EAD"/>
    <w:rsid w:val="00E63F57"/>
    <w:rsid w:val="00E63FCD"/>
    <w:rsid w:val="00E648D2"/>
    <w:rsid w:val="00E64C8C"/>
    <w:rsid w:val="00E64F6F"/>
    <w:rsid w:val="00E6524A"/>
    <w:rsid w:val="00E653CA"/>
    <w:rsid w:val="00E65803"/>
    <w:rsid w:val="00E65D22"/>
    <w:rsid w:val="00E65D95"/>
    <w:rsid w:val="00E65D9F"/>
    <w:rsid w:val="00E666F8"/>
    <w:rsid w:val="00E6687D"/>
    <w:rsid w:val="00E66A87"/>
    <w:rsid w:val="00E66EB3"/>
    <w:rsid w:val="00E670ED"/>
    <w:rsid w:val="00E6721F"/>
    <w:rsid w:val="00E67252"/>
    <w:rsid w:val="00E673F7"/>
    <w:rsid w:val="00E67431"/>
    <w:rsid w:val="00E676B2"/>
    <w:rsid w:val="00E67BB0"/>
    <w:rsid w:val="00E67D73"/>
    <w:rsid w:val="00E67E79"/>
    <w:rsid w:val="00E70380"/>
    <w:rsid w:val="00E705B4"/>
    <w:rsid w:val="00E70796"/>
    <w:rsid w:val="00E707D2"/>
    <w:rsid w:val="00E70957"/>
    <w:rsid w:val="00E70A56"/>
    <w:rsid w:val="00E70E61"/>
    <w:rsid w:val="00E71237"/>
    <w:rsid w:val="00E712D9"/>
    <w:rsid w:val="00E715A3"/>
    <w:rsid w:val="00E717B8"/>
    <w:rsid w:val="00E71B76"/>
    <w:rsid w:val="00E72234"/>
    <w:rsid w:val="00E72504"/>
    <w:rsid w:val="00E72531"/>
    <w:rsid w:val="00E72770"/>
    <w:rsid w:val="00E72934"/>
    <w:rsid w:val="00E73199"/>
    <w:rsid w:val="00E73663"/>
    <w:rsid w:val="00E73A0E"/>
    <w:rsid w:val="00E73D68"/>
    <w:rsid w:val="00E7405F"/>
    <w:rsid w:val="00E74251"/>
    <w:rsid w:val="00E74417"/>
    <w:rsid w:val="00E7459C"/>
    <w:rsid w:val="00E7463C"/>
    <w:rsid w:val="00E74A56"/>
    <w:rsid w:val="00E74AA7"/>
    <w:rsid w:val="00E74F86"/>
    <w:rsid w:val="00E75212"/>
    <w:rsid w:val="00E7538B"/>
    <w:rsid w:val="00E75465"/>
    <w:rsid w:val="00E758CF"/>
    <w:rsid w:val="00E75AE0"/>
    <w:rsid w:val="00E75C3E"/>
    <w:rsid w:val="00E75CB1"/>
    <w:rsid w:val="00E75D1E"/>
    <w:rsid w:val="00E75EAF"/>
    <w:rsid w:val="00E75EB1"/>
    <w:rsid w:val="00E75F1F"/>
    <w:rsid w:val="00E76275"/>
    <w:rsid w:val="00E7629D"/>
    <w:rsid w:val="00E76721"/>
    <w:rsid w:val="00E76A28"/>
    <w:rsid w:val="00E76C52"/>
    <w:rsid w:val="00E76D7F"/>
    <w:rsid w:val="00E776EC"/>
    <w:rsid w:val="00E80061"/>
    <w:rsid w:val="00E80491"/>
    <w:rsid w:val="00E80762"/>
    <w:rsid w:val="00E80839"/>
    <w:rsid w:val="00E80859"/>
    <w:rsid w:val="00E809CD"/>
    <w:rsid w:val="00E80BC3"/>
    <w:rsid w:val="00E81002"/>
    <w:rsid w:val="00E8158A"/>
    <w:rsid w:val="00E816AC"/>
    <w:rsid w:val="00E8209D"/>
    <w:rsid w:val="00E8210C"/>
    <w:rsid w:val="00E8260C"/>
    <w:rsid w:val="00E82641"/>
    <w:rsid w:val="00E828D7"/>
    <w:rsid w:val="00E82C0A"/>
    <w:rsid w:val="00E82E90"/>
    <w:rsid w:val="00E83C68"/>
    <w:rsid w:val="00E8406D"/>
    <w:rsid w:val="00E84659"/>
    <w:rsid w:val="00E846D1"/>
    <w:rsid w:val="00E8474E"/>
    <w:rsid w:val="00E847D6"/>
    <w:rsid w:val="00E84944"/>
    <w:rsid w:val="00E84AAA"/>
    <w:rsid w:val="00E84F7D"/>
    <w:rsid w:val="00E84FBA"/>
    <w:rsid w:val="00E850A5"/>
    <w:rsid w:val="00E8530D"/>
    <w:rsid w:val="00E85443"/>
    <w:rsid w:val="00E85500"/>
    <w:rsid w:val="00E85729"/>
    <w:rsid w:val="00E8575C"/>
    <w:rsid w:val="00E85A21"/>
    <w:rsid w:val="00E85BF4"/>
    <w:rsid w:val="00E85C48"/>
    <w:rsid w:val="00E86684"/>
    <w:rsid w:val="00E86693"/>
    <w:rsid w:val="00E86895"/>
    <w:rsid w:val="00E86937"/>
    <w:rsid w:val="00E86E9D"/>
    <w:rsid w:val="00E87547"/>
    <w:rsid w:val="00E8794A"/>
    <w:rsid w:val="00E87968"/>
    <w:rsid w:val="00E87A31"/>
    <w:rsid w:val="00E87F77"/>
    <w:rsid w:val="00E9058C"/>
    <w:rsid w:val="00E905B9"/>
    <w:rsid w:val="00E907E3"/>
    <w:rsid w:val="00E90B9A"/>
    <w:rsid w:val="00E90CD8"/>
    <w:rsid w:val="00E911C4"/>
    <w:rsid w:val="00E911EA"/>
    <w:rsid w:val="00E9133B"/>
    <w:rsid w:val="00E91648"/>
    <w:rsid w:val="00E919C2"/>
    <w:rsid w:val="00E91C88"/>
    <w:rsid w:val="00E9246C"/>
    <w:rsid w:val="00E92899"/>
    <w:rsid w:val="00E92ADF"/>
    <w:rsid w:val="00E930FD"/>
    <w:rsid w:val="00E93145"/>
    <w:rsid w:val="00E932AA"/>
    <w:rsid w:val="00E93689"/>
    <w:rsid w:val="00E939D8"/>
    <w:rsid w:val="00E9442C"/>
    <w:rsid w:val="00E94C0A"/>
    <w:rsid w:val="00E95168"/>
    <w:rsid w:val="00E9523C"/>
    <w:rsid w:val="00E95478"/>
    <w:rsid w:val="00E95763"/>
    <w:rsid w:val="00E957C0"/>
    <w:rsid w:val="00E958D5"/>
    <w:rsid w:val="00E960C0"/>
    <w:rsid w:val="00E9633D"/>
    <w:rsid w:val="00E964D2"/>
    <w:rsid w:val="00E96783"/>
    <w:rsid w:val="00E96B31"/>
    <w:rsid w:val="00E96C54"/>
    <w:rsid w:val="00E96D28"/>
    <w:rsid w:val="00E96D4D"/>
    <w:rsid w:val="00E9719D"/>
    <w:rsid w:val="00E97446"/>
    <w:rsid w:val="00E975D2"/>
    <w:rsid w:val="00E978B1"/>
    <w:rsid w:val="00E97908"/>
    <w:rsid w:val="00E97942"/>
    <w:rsid w:val="00E97B56"/>
    <w:rsid w:val="00E97C2C"/>
    <w:rsid w:val="00E97E1B"/>
    <w:rsid w:val="00E97ECA"/>
    <w:rsid w:val="00EA000E"/>
    <w:rsid w:val="00EA0036"/>
    <w:rsid w:val="00EA0309"/>
    <w:rsid w:val="00EA03C1"/>
    <w:rsid w:val="00EA04BC"/>
    <w:rsid w:val="00EA0F0D"/>
    <w:rsid w:val="00EA1097"/>
    <w:rsid w:val="00EA18A6"/>
    <w:rsid w:val="00EA19D2"/>
    <w:rsid w:val="00EA19F4"/>
    <w:rsid w:val="00EA1C71"/>
    <w:rsid w:val="00EA1CE9"/>
    <w:rsid w:val="00EA240C"/>
    <w:rsid w:val="00EA2513"/>
    <w:rsid w:val="00EA2658"/>
    <w:rsid w:val="00EA2833"/>
    <w:rsid w:val="00EA2A1E"/>
    <w:rsid w:val="00EA2A95"/>
    <w:rsid w:val="00EA2BE6"/>
    <w:rsid w:val="00EA2C81"/>
    <w:rsid w:val="00EA2D0F"/>
    <w:rsid w:val="00EA3128"/>
    <w:rsid w:val="00EA3279"/>
    <w:rsid w:val="00EA3834"/>
    <w:rsid w:val="00EA38B0"/>
    <w:rsid w:val="00EA3B4F"/>
    <w:rsid w:val="00EA3CCD"/>
    <w:rsid w:val="00EA4152"/>
    <w:rsid w:val="00EA43AD"/>
    <w:rsid w:val="00EA4A09"/>
    <w:rsid w:val="00EA4B8C"/>
    <w:rsid w:val="00EA4E78"/>
    <w:rsid w:val="00EA4EF2"/>
    <w:rsid w:val="00EA5355"/>
    <w:rsid w:val="00EA535E"/>
    <w:rsid w:val="00EA5E59"/>
    <w:rsid w:val="00EA60BE"/>
    <w:rsid w:val="00EA685A"/>
    <w:rsid w:val="00EA6F58"/>
    <w:rsid w:val="00EA7094"/>
    <w:rsid w:val="00EA73D0"/>
    <w:rsid w:val="00EA74D8"/>
    <w:rsid w:val="00EA7DB0"/>
    <w:rsid w:val="00EA7FB2"/>
    <w:rsid w:val="00EB00D4"/>
    <w:rsid w:val="00EB02C4"/>
    <w:rsid w:val="00EB07FD"/>
    <w:rsid w:val="00EB081E"/>
    <w:rsid w:val="00EB0D7F"/>
    <w:rsid w:val="00EB10DE"/>
    <w:rsid w:val="00EB13E8"/>
    <w:rsid w:val="00EB149B"/>
    <w:rsid w:val="00EB1658"/>
    <w:rsid w:val="00EB1757"/>
    <w:rsid w:val="00EB1B88"/>
    <w:rsid w:val="00EB1BE7"/>
    <w:rsid w:val="00EB1E06"/>
    <w:rsid w:val="00EB1E89"/>
    <w:rsid w:val="00EB1EB2"/>
    <w:rsid w:val="00EB2146"/>
    <w:rsid w:val="00EB21E2"/>
    <w:rsid w:val="00EB2B59"/>
    <w:rsid w:val="00EB2C17"/>
    <w:rsid w:val="00EB312D"/>
    <w:rsid w:val="00EB32F0"/>
    <w:rsid w:val="00EB3329"/>
    <w:rsid w:val="00EB41AF"/>
    <w:rsid w:val="00EB42BC"/>
    <w:rsid w:val="00EB45A2"/>
    <w:rsid w:val="00EB4639"/>
    <w:rsid w:val="00EB47BD"/>
    <w:rsid w:val="00EB487C"/>
    <w:rsid w:val="00EB4A95"/>
    <w:rsid w:val="00EB4D75"/>
    <w:rsid w:val="00EB511C"/>
    <w:rsid w:val="00EB52FC"/>
    <w:rsid w:val="00EB54F1"/>
    <w:rsid w:val="00EB5529"/>
    <w:rsid w:val="00EB55FE"/>
    <w:rsid w:val="00EB5A3C"/>
    <w:rsid w:val="00EB5E23"/>
    <w:rsid w:val="00EB62A5"/>
    <w:rsid w:val="00EB686A"/>
    <w:rsid w:val="00EB6DD6"/>
    <w:rsid w:val="00EB6E36"/>
    <w:rsid w:val="00EB77F9"/>
    <w:rsid w:val="00EB796C"/>
    <w:rsid w:val="00EB7DEC"/>
    <w:rsid w:val="00EB7EE7"/>
    <w:rsid w:val="00EC0237"/>
    <w:rsid w:val="00EC02DC"/>
    <w:rsid w:val="00EC06AB"/>
    <w:rsid w:val="00EC0A3A"/>
    <w:rsid w:val="00EC0C4F"/>
    <w:rsid w:val="00EC0C6F"/>
    <w:rsid w:val="00EC0EC7"/>
    <w:rsid w:val="00EC0ECB"/>
    <w:rsid w:val="00EC15F9"/>
    <w:rsid w:val="00EC161B"/>
    <w:rsid w:val="00EC1903"/>
    <w:rsid w:val="00EC1C21"/>
    <w:rsid w:val="00EC1EAA"/>
    <w:rsid w:val="00EC2145"/>
    <w:rsid w:val="00EC284B"/>
    <w:rsid w:val="00EC2D34"/>
    <w:rsid w:val="00EC2E57"/>
    <w:rsid w:val="00EC385F"/>
    <w:rsid w:val="00EC3A46"/>
    <w:rsid w:val="00EC3BAD"/>
    <w:rsid w:val="00EC3F23"/>
    <w:rsid w:val="00EC451B"/>
    <w:rsid w:val="00EC45A1"/>
    <w:rsid w:val="00EC5292"/>
    <w:rsid w:val="00EC582A"/>
    <w:rsid w:val="00EC5BBE"/>
    <w:rsid w:val="00EC5D88"/>
    <w:rsid w:val="00EC6067"/>
    <w:rsid w:val="00EC610D"/>
    <w:rsid w:val="00EC6634"/>
    <w:rsid w:val="00EC677F"/>
    <w:rsid w:val="00EC6C71"/>
    <w:rsid w:val="00EC6FD5"/>
    <w:rsid w:val="00EC7208"/>
    <w:rsid w:val="00EC76C5"/>
    <w:rsid w:val="00EC7735"/>
    <w:rsid w:val="00EC797F"/>
    <w:rsid w:val="00EC7E06"/>
    <w:rsid w:val="00EC7FCC"/>
    <w:rsid w:val="00ED01EF"/>
    <w:rsid w:val="00ED0734"/>
    <w:rsid w:val="00ED0774"/>
    <w:rsid w:val="00ED0BE3"/>
    <w:rsid w:val="00ED0F0E"/>
    <w:rsid w:val="00ED1608"/>
    <w:rsid w:val="00ED17AB"/>
    <w:rsid w:val="00ED1866"/>
    <w:rsid w:val="00ED1ACC"/>
    <w:rsid w:val="00ED1B1A"/>
    <w:rsid w:val="00ED1FC9"/>
    <w:rsid w:val="00ED2258"/>
    <w:rsid w:val="00ED2409"/>
    <w:rsid w:val="00ED2444"/>
    <w:rsid w:val="00ED2682"/>
    <w:rsid w:val="00ED2726"/>
    <w:rsid w:val="00ED2BA3"/>
    <w:rsid w:val="00ED2EA3"/>
    <w:rsid w:val="00ED3112"/>
    <w:rsid w:val="00ED336D"/>
    <w:rsid w:val="00ED37E3"/>
    <w:rsid w:val="00ED39AD"/>
    <w:rsid w:val="00ED3F49"/>
    <w:rsid w:val="00ED4726"/>
    <w:rsid w:val="00ED4794"/>
    <w:rsid w:val="00ED4BA8"/>
    <w:rsid w:val="00ED4D28"/>
    <w:rsid w:val="00ED50BB"/>
    <w:rsid w:val="00ED55C8"/>
    <w:rsid w:val="00ED5D76"/>
    <w:rsid w:val="00ED5FEA"/>
    <w:rsid w:val="00ED606E"/>
    <w:rsid w:val="00ED62CE"/>
    <w:rsid w:val="00ED636B"/>
    <w:rsid w:val="00ED63A3"/>
    <w:rsid w:val="00ED649C"/>
    <w:rsid w:val="00ED6607"/>
    <w:rsid w:val="00ED6912"/>
    <w:rsid w:val="00ED6BA2"/>
    <w:rsid w:val="00ED6F57"/>
    <w:rsid w:val="00ED7699"/>
    <w:rsid w:val="00ED77DD"/>
    <w:rsid w:val="00ED7AC8"/>
    <w:rsid w:val="00EE0034"/>
    <w:rsid w:val="00EE01EC"/>
    <w:rsid w:val="00EE023C"/>
    <w:rsid w:val="00EE02E3"/>
    <w:rsid w:val="00EE067A"/>
    <w:rsid w:val="00EE08AC"/>
    <w:rsid w:val="00EE0976"/>
    <w:rsid w:val="00EE09CC"/>
    <w:rsid w:val="00EE0A9C"/>
    <w:rsid w:val="00EE0AFD"/>
    <w:rsid w:val="00EE0B8D"/>
    <w:rsid w:val="00EE0EB7"/>
    <w:rsid w:val="00EE11BB"/>
    <w:rsid w:val="00EE159E"/>
    <w:rsid w:val="00EE19BC"/>
    <w:rsid w:val="00EE2021"/>
    <w:rsid w:val="00EE20BD"/>
    <w:rsid w:val="00EE2478"/>
    <w:rsid w:val="00EE249F"/>
    <w:rsid w:val="00EE2511"/>
    <w:rsid w:val="00EE26EC"/>
    <w:rsid w:val="00EE28D5"/>
    <w:rsid w:val="00EE2DDD"/>
    <w:rsid w:val="00EE2FDD"/>
    <w:rsid w:val="00EE3124"/>
    <w:rsid w:val="00EE3DA7"/>
    <w:rsid w:val="00EE3DBE"/>
    <w:rsid w:val="00EE45BF"/>
    <w:rsid w:val="00EE4A84"/>
    <w:rsid w:val="00EE4D1F"/>
    <w:rsid w:val="00EE4D69"/>
    <w:rsid w:val="00EE534C"/>
    <w:rsid w:val="00EE53F2"/>
    <w:rsid w:val="00EE620D"/>
    <w:rsid w:val="00EE62C5"/>
    <w:rsid w:val="00EE63F2"/>
    <w:rsid w:val="00EE69D2"/>
    <w:rsid w:val="00EE6A99"/>
    <w:rsid w:val="00EE6B3B"/>
    <w:rsid w:val="00EE6B56"/>
    <w:rsid w:val="00EE74B4"/>
    <w:rsid w:val="00EF01B4"/>
    <w:rsid w:val="00EF04B3"/>
    <w:rsid w:val="00EF07F3"/>
    <w:rsid w:val="00EF0AB2"/>
    <w:rsid w:val="00EF0AE9"/>
    <w:rsid w:val="00EF0E95"/>
    <w:rsid w:val="00EF0F2B"/>
    <w:rsid w:val="00EF1675"/>
    <w:rsid w:val="00EF1881"/>
    <w:rsid w:val="00EF1954"/>
    <w:rsid w:val="00EF1CD2"/>
    <w:rsid w:val="00EF20E5"/>
    <w:rsid w:val="00EF2561"/>
    <w:rsid w:val="00EF27C2"/>
    <w:rsid w:val="00EF33FB"/>
    <w:rsid w:val="00EF398B"/>
    <w:rsid w:val="00EF3A69"/>
    <w:rsid w:val="00EF4684"/>
    <w:rsid w:val="00EF4902"/>
    <w:rsid w:val="00EF4A5E"/>
    <w:rsid w:val="00EF4A6E"/>
    <w:rsid w:val="00EF4A9A"/>
    <w:rsid w:val="00EF4AD0"/>
    <w:rsid w:val="00EF4AD7"/>
    <w:rsid w:val="00EF4D05"/>
    <w:rsid w:val="00EF4E81"/>
    <w:rsid w:val="00EF5462"/>
    <w:rsid w:val="00EF54FD"/>
    <w:rsid w:val="00EF62CE"/>
    <w:rsid w:val="00EF6460"/>
    <w:rsid w:val="00EF6583"/>
    <w:rsid w:val="00EF666B"/>
    <w:rsid w:val="00EF68E8"/>
    <w:rsid w:val="00EF69DA"/>
    <w:rsid w:val="00EF71CB"/>
    <w:rsid w:val="00EF7ACA"/>
    <w:rsid w:val="00EF7D21"/>
    <w:rsid w:val="00EF7E78"/>
    <w:rsid w:val="00F0040A"/>
    <w:rsid w:val="00F006F2"/>
    <w:rsid w:val="00F00A0F"/>
    <w:rsid w:val="00F00C56"/>
    <w:rsid w:val="00F0124E"/>
    <w:rsid w:val="00F01251"/>
    <w:rsid w:val="00F01694"/>
    <w:rsid w:val="00F018BE"/>
    <w:rsid w:val="00F01A27"/>
    <w:rsid w:val="00F020AE"/>
    <w:rsid w:val="00F024F3"/>
    <w:rsid w:val="00F025B7"/>
    <w:rsid w:val="00F02651"/>
    <w:rsid w:val="00F02E8D"/>
    <w:rsid w:val="00F03437"/>
    <w:rsid w:val="00F038D1"/>
    <w:rsid w:val="00F03BDF"/>
    <w:rsid w:val="00F03F2E"/>
    <w:rsid w:val="00F045E2"/>
    <w:rsid w:val="00F04606"/>
    <w:rsid w:val="00F0483D"/>
    <w:rsid w:val="00F0486F"/>
    <w:rsid w:val="00F0487E"/>
    <w:rsid w:val="00F048B1"/>
    <w:rsid w:val="00F04A46"/>
    <w:rsid w:val="00F04B57"/>
    <w:rsid w:val="00F04B8A"/>
    <w:rsid w:val="00F04DC1"/>
    <w:rsid w:val="00F052D5"/>
    <w:rsid w:val="00F05372"/>
    <w:rsid w:val="00F057CB"/>
    <w:rsid w:val="00F058DA"/>
    <w:rsid w:val="00F05A0D"/>
    <w:rsid w:val="00F05C46"/>
    <w:rsid w:val="00F0609E"/>
    <w:rsid w:val="00F06104"/>
    <w:rsid w:val="00F06106"/>
    <w:rsid w:val="00F06388"/>
    <w:rsid w:val="00F0645F"/>
    <w:rsid w:val="00F064E2"/>
    <w:rsid w:val="00F066CC"/>
    <w:rsid w:val="00F0672C"/>
    <w:rsid w:val="00F06760"/>
    <w:rsid w:val="00F067C4"/>
    <w:rsid w:val="00F06B9F"/>
    <w:rsid w:val="00F06CDB"/>
    <w:rsid w:val="00F072B8"/>
    <w:rsid w:val="00F07618"/>
    <w:rsid w:val="00F07942"/>
    <w:rsid w:val="00F10166"/>
    <w:rsid w:val="00F10250"/>
    <w:rsid w:val="00F105C7"/>
    <w:rsid w:val="00F11118"/>
    <w:rsid w:val="00F1124E"/>
    <w:rsid w:val="00F112AA"/>
    <w:rsid w:val="00F11E2E"/>
    <w:rsid w:val="00F11F0F"/>
    <w:rsid w:val="00F11F8C"/>
    <w:rsid w:val="00F1213C"/>
    <w:rsid w:val="00F126DE"/>
    <w:rsid w:val="00F128D9"/>
    <w:rsid w:val="00F12E6F"/>
    <w:rsid w:val="00F12EF2"/>
    <w:rsid w:val="00F13500"/>
    <w:rsid w:val="00F136E4"/>
    <w:rsid w:val="00F13CB8"/>
    <w:rsid w:val="00F1436B"/>
    <w:rsid w:val="00F144EF"/>
    <w:rsid w:val="00F150F9"/>
    <w:rsid w:val="00F15B76"/>
    <w:rsid w:val="00F15C9A"/>
    <w:rsid w:val="00F15E03"/>
    <w:rsid w:val="00F15F93"/>
    <w:rsid w:val="00F160FC"/>
    <w:rsid w:val="00F162E8"/>
    <w:rsid w:val="00F16641"/>
    <w:rsid w:val="00F16841"/>
    <w:rsid w:val="00F16F35"/>
    <w:rsid w:val="00F175E5"/>
    <w:rsid w:val="00F1794B"/>
    <w:rsid w:val="00F17A91"/>
    <w:rsid w:val="00F17DB0"/>
    <w:rsid w:val="00F17FC7"/>
    <w:rsid w:val="00F201CC"/>
    <w:rsid w:val="00F20AB7"/>
    <w:rsid w:val="00F20DB8"/>
    <w:rsid w:val="00F20F08"/>
    <w:rsid w:val="00F211DC"/>
    <w:rsid w:val="00F21268"/>
    <w:rsid w:val="00F2128A"/>
    <w:rsid w:val="00F2140C"/>
    <w:rsid w:val="00F21669"/>
    <w:rsid w:val="00F2169D"/>
    <w:rsid w:val="00F225B6"/>
    <w:rsid w:val="00F22858"/>
    <w:rsid w:val="00F22986"/>
    <w:rsid w:val="00F22A15"/>
    <w:rsid w:val="00F22DAF"/>
    <w:rsid w:val="00F22FB3"/>
    <w:rsid w:val="00F23273"/>
    <w:rsid w:val="00F23685"/>
    <w:rsid w:val="00F23761"/>
    <w:rsid w:val="00F2388A"/>
    <w:rsid w:val="00F23CEE"/>
    <w:rsid w:val="00F23FB0"/>
    <w:rsid w:val="00F240FB"/>
    <w:rsid w:val="00F24978"/>
    <w:rsid w:val="00F24B03"/>
    <w:rsid w:val="00F24B17"/>
    <w:rsid w:val="00F24B83"/>
    <w:rsid w:val="00F24C1B"/>
    <w:rsid w:val="00F24F3F"/>
    <w:rsid w:val="00F2513E"/>
    <w:rsid w:val="00F256AC"/>
    <w:rsid w:val="00F258C8"/>
    <w:rsid w:val="00F2592A"/>
    <w:rsid w:val="00F25E88"/>
    <w:rsid w:val="00F26604"/>
    <w:rsid w:val="00F267B7"/>
    <w:rsid w:val="00F267BF"/>
    <w:rsid w:val="00F2681C"/>
    <w:rsid w:val="00F269B2"/>
    <w:rsid w:val="00F26B1A"/>
    <w:rsid w:val="00F26B2A"/>
    <w:rsid w:val="00F26D19"/>
    <w:rsid w:val="00F26D6F"/>
    <w:rsid w:val="00F271FF"/>
    <w:rsid w:val="00F275E8"/>
    <w:rsid w:val="00F2771F"/>
    <w:rsid w:val="00F27AFA"/>
    <w:rsid w:val="00F27B0A"/>
    <w:rsid w:val="00F27BB9"/>
    <w:rsid w:val="00F27C7A"/>
    <w:rsid w:val="00F3087D"/>
    <w:rsid w:val="00F30F9F"/>
    <w:rsid w:val="00F3107C"/>
    <w:rsid w:val="00F310E6"/>
    <w:rsid w:val="00F31C54"/>
    <w:rsid w:val="00F31C72"/>
    <w:rsid w:val="00F31CCF"/>
    <w:rsid w:val="00F3264A"/>
    <w:rsid w:val="00F32879"/>
    <w:rsid w:val="00F329F4"/>
    <w:rsid w:val="00F32C1B"/>
    <w:rsid w:val="00F32FF2"/>
    <w:rsid w:val="00F335E8"/>
    <w:rsid w:val="00F3384A"/>
    <w:rsid w:val="00F33920"/>
    <w:rsid w:val="00F3396F"/>
    <w:rsid w:val="00F33AB2"/>
    <w:rsid w:val="00F33C83"/>
    <w:rsid w:val="00F33F6A"/>
    <w:rsid w:val="00F34358"/>
    <w:rsid w:val="00F343B3"/>
    <w:rsid w:val="00F343E2"/>
    <w:rsid w:val="00F34688"/>
    <w:rsid w:val="00F34C11"/>
    <w:rsid w:val="00F351D3"/>
    <w:rsid w:val="00F35689"/>
    <w:rsid w:val="00F358ED"/>
    <w:rsid w:val="00F35A73"/>
    <w:rsid w:val="00F35C43"/>
    <w:rsid w:val="00F35D38"/>
    <w:rsid w:val="00F3628C"/>
    <w:rsid w:val="00F36CB6"/>
    <w:rsid w:val="00F37098"/>
    <w:rsid w:val="00F3718E"/>
    <w:rsid w:val="00F37386"/>
    <w:rsid w:val="00F376E0"/>
    <w:rsid w:val="00F377B5"/>
    <w:rsid w:val="00F37893"/>
    <w:rsid w:val="00F378DC"/>
    <w:rsid w:val="00F37A70"/>
    <w:rsid w:val="00F37A93"/>
    <w:rsid w:val="00F37D95"/>
    <w:rsid w:val="00F37E9B"/>
    <w:rsid w:val="00F40114"/>
    <w:rsid w:val="00F402D0"/>
    <w:rsid w:val="00F40623"/>
    <w:rsid w:val="00F40B82"/>
    <w:rsid w:val="00F40B8C"/>
    <w:rsid w:val="00F40C86"/>
    <w:rsid w:val="00F40F63"/>
    <w:rsid w:val="00F41183"/>
    <w:rsid w:val="00F41FEE"/>
    <w:rsid w:val="00F42792"/>
    <w:rsid w:val="00F42AC5"/>
    <w:rsid w:val="00F42BC9"/>
    <w:rsid w:val="00F4332F"/>
    <w:rsid w:val="00F43400"/>
    <w:rsid w:val="00F43477"/>
    <w:rsid w:val="00F43906"/>
    <w:rsid w:val="00F439F8"/>
    <w:rsid w:val="00F43A58"/>
    <w:rsid w:val="00F43AD1"/>
    <w:rsid w:val="00F440EC"/>
    <w:rsid w:val="00F444A5"/>
    <w:rsid w:val="00F44512"/>
    <w:rsid w:val="00F44592"/>
    <w:rsid w:val="00F44BAF"/>
    <w:rsid w:val="00F44CBA"/>
    <w:rsid w:val="00F4510E"/>
    <w:rsid w:val="00F452C6"/>
    <w:rsid w:val="00F45508"/>
    <w:rsid w:val="00F46A05"/>
    <w:rsid w:val="00F46AE0"/>
    <w:rsid w:val="00F46E26"/>
    <w:rsid w:val="00F46E5A"/>
    <w:rsid w:val="00F473DE"/>
    <w:rsid w:val="00F47524"/>
    <w:rsid w:val="00F475AD"/>
    <w:rsid w:val="00F47668"/>
    <w:rsid w:val="00F4791D"/>
    <w:rsid w:val="00F47C43"/>
    <w:rsid w:val="00F47CC5"/>
    <w:rsid w:val="00F47D55"/>
    <w:rsid w:val="00F47E93"/>
    <w:rsid w:val="00F501E8"/>
    <w:rsid w:val="00F502BE"/>
    <w:rsid w:val="00F50797"/>
    <w:rsid w:val="00F50839"/>
    <w:rsid w:val="00F50C6F"/>
    <w:rsid w:val="00F50DC3"/>
    <w:rsid w:val="00F50EB9"/>
    <w:rsid w:val="00F50FBC"/>
    <w:rsid w:val="00F51043"/>
    <w:rsid w:val="00F513AB"/>
    <w:rsid w:val="00F5155E"/>
    <w:rsid w:val="00F51715"/>
    <w:rsid w:val="00F51725"/>
    <w:rsid w:val="00F5175D"/>
    <w:rsid w:val="00F51DDD"/>
    <w:rsid w:val="00F51EBA"/>
    <w:rsid w:val="00F51FA8"/>
    <w:rsid w:val="00F51FE7"/>
    <w:rsid w:val="00F52293"/>
    <w:rsid w:val="00F522C3"/>
    <w:rsid w:val="00F524FC"/>
    <w:rsid w:val="00F52D28"/>
    <w:rsid w:val="00F532EF"/>
    <w:rsid w:val="00F53359"/>
    <w:rsid w:val="00F536B0"/>
    <w:rsid w:val="00F5382D"/>
    <w:rsid w:val="00F53C12"/>
    <w:rsid w:val="00F54021"/>
    <w:rsid w:val="00F5410D"/>
    <w:rsid w:val="00F542D3"/>
    <w:rsid w:val="00F54507"/>
    <w:rsid w:val="00F545C1"/>
    <w:rsid w:val="00F5494D"/>
    <w:rsid w:val="00F549C7"/>
    <w:rsid w:val="00F54F88"/>
    <w:rsid w:val="00F55177"/>
    <w:rsid w:val="00F55469"/>
    <w:rsid w:val="00F55A21"/>
    <w:rsid w:val="00F55B1B"/>
    <w:rsid w:val="00F55C90"/>
    <w:rsid w:val="00F55CD8"/>
    <w:rsid w:val="00F56690"/>
    <w:rsid w:val="00F56844"/>
    <w:rsid w:val="00F56A91"/>
    <w:rsid w:val="00F56C0A"/>
    <w:rsid w:val="00F570E8"/>
    <w:rsid w:val="00F57804"/>
    <w:rsid w:val="00F578E0"/>
    <w:rsid w:val="00F579AA"/>
    <w:rsid w:val="00F605E4"/>
    <w:rsid w:val="00F605E5"/>
    <w:rsid w:val="00F605E6"/>
    <w:rsid w:val="00F6089B"/>
    <w:rsid w:val="00F60EC6"/>
    <w:rsid w:val="00F61195"/>
    <w:rsid w:val="00F61337"/>
    <w:rsid w:val="00F61345"/>
    <w:rsid w:val="00F61393"/>
    <w:rsid w:val="00F6144C"/>
    <w:rsid w:val="00F616A7"/>
    <w:rsid w:val="00F61803"/>
    <w:rsid w:val="00F619CB"/>
    <w:rsid w:val="00F61A01"/>
    <w:rsid w:val="00F61FC8"/>
    <w:rsid w:val="00F6215F"/>
    <w:rsid w:val="00F62339"/>
    <w:rsid w:val="00F6260B"/>
    <w:rsid w:val="00F62657"/>
    <w:rsid w:val="00F62AB1"/>
    <w:rsid w:val="00F62AED"/>
    <w:rsid w:val="00F62D00"/>
    <w:rsid w:val="00F62E9A"/>
    <w:rsid w:val="00F6311A"/>
    <w:rsid w:val="00F632DF"/>
    <w:rsid w:val="00F6330F"/>
    <w:rsid w:val="00F63589"/>
    <w:rsid w:val="00F638CE"/>
    <w:rsid w:val="00F63AF0"/>
    <w:rsid w:val="00F63E5E"/>
    <w:rsid w:val="00F64045"/>
    <w:rsid w:val="00F643C2"/>
    <w:rsid w:val="00F64569"/>
    <w:rsid w:val="00F645CE"/>
    <w:rsid w:val="00F6473C"/>
    <w:rsid w:val="00F64DF3"/>
    <w:rsid w:val="00F6502A"/>
    <w:rsid w:val="00F65092"/>
    <w:rsid w:val="00F65A79"/>
    <w:rsid w:val="00F65D0D"/>
    <w:rsid w:val="00F663DD"/>
    <w:rsid w:val="00F665B1"/>
    <w:rsid w:val="00F6676A"/>
    <w:rsid w:val="00F66CBB"/>
    <w:rsid w:val="00F66D29"/>
    <w:rsid w:val="00F66DF1"/>
    <w:rsid w:val="00F66E66"/>
    <w:rsid w:val="00F66F39"/>
    <w:rsid w:val="00F67659"/>
    <w:rsid w:val="00F67860"/>
    <w:rsid w:val="00F67880"/>
    <w:rsid w:val="00F67E8E"/>
    <w:rsid w:val="00F7009D"/>
    <w:rsid w:val="00F700AE"/>
    <w:rsid w:val="00F700BB"/>
    <w:rsid w:val="00F700D0"/>
    <w:rsid w:val="00F704A1"/>
    <w:rsid w:val="00F705A7"/>
    <w:rsid w:val="00F70774"/>
    <w:rsid w:val="00F708D4"/>
    <w:rsid w:val="00F7093F"/>
    <w:rsid w:val="00F70AFC"/>
    <w:rsid w:val="00F70C8D"/>
    <w:rsid w:val="00F711AC"/>
    <w:rsid w:val="00F711CA"/>
    <w:rsid w:val="00F71445"/>
    <w:rsid w:val="00F71B00"/>
    <w:rsid w:val="00F71CBE"/>
    <w:rsid w:val="00F71EC6"/>
    <w:rsid w:val="00F71FE3"/>
    <w:rsid w:val="00F72064"/>
    <w:rsid w:val="00F723A0"/>
    <w:rsid w:val="00F7243A"/>
    <w:rsid w:val="00F72457"/>
    <w:rsid w:val="00F72609"/>
    <w:rsid w:val="00F73DCD"/>
    <w:rsid w:val="00F73F65"/>
    <w:rsid w:val="00F74009"/>
    <w:rsid w:val="00F741F4"/>
    <w:rsid w:val="00F7423B"/>
    <w:rsid w:val="00F747C5"/>
    <w:rsid w:val="00F74A35"/>
    <w:rsid w:val="00F74A84"/>
    <w:rsid w:val="00F74AE9"/>
    <w:rsid w:val="00F75171"/>
    <w:rsid w:val="00F756CD"/>
    <w:rsid w:val="00F767A0"/>
    <w:rsid w:val="00F7699C"/>
    <w:rsid w:val="00F76A89"/>
    <w:rsid w:val="00F76BC4"/>
    <w:rsid w:val="00F77162"/>
    <w:rsid w:val="00F7750D"/>
    <w:rsid w:val="00F77A1D"/>
    <w:rsid w:val="00F77C01"/>
    <w:rsid w:val="00F77D72"/>
    <w:rsid w:val="00F80048"/>
    <w:rsid w:val="00F80561"/>
    <w:rsid w:val="00F80694"/>
    <w:rsid w:val="00F80A56"/>
    <w:rsid w:val="00F80A61"/>
    <w:rsid w:val="00F80AD6"/>
    <w:rsid w:val="00F80D35"/>
    <w:rsid w:val="00F80D71"/>
    <w:rsid w:val="00F80D98"/>
    <w:rsid w:val="00F81132"/>
    <w:rsid w:val="00F81214"/>
    <w:rsid w:val="00F8135A"/>
    <w:rsid w:val="00F81550"/>
    <w:rsid w:val="00F8177E"/>
    <w:rsid w:val="00F81881"/>
    <w:rsid w:val="00F81C83"/>
    <w:rsid w:val="00F82063"/>
    <w:rsid w:val="00F8213E"/>
    <w:rsid w:val="00F82442"/>
    <w:rsid w:val="00F82541"/>
    <w:rsid w:val="00F82A01"/>
    <w:rsid w:val="00F82BA9"/>
    <w:rsid w:val="00F82F4B"/>
    <w:rsid w:val="00F82F82"/>
    <w:rsid w:val="00F830F2"/>
    <w:rsid w:val="00F8351F"/>
    <w:rsid w:val="00F84C1C"/>
    <w:rsid w:val="00F84D61"/>
    <w:rsid w:val="00F84DFE"/>
    <w:rsid w:val="00F8520D"/>
    <w:rsid w:val="00F8545D"/>
    <w:rsid w:val="00F8582E"/>
    <w:rsid w:val="00F859B6"/>
    <w:rsid w:val="00F85B11"/>
    <w:rsid w:val="00F85F1C"/>
    <w:rsid w:val="00F8665E"/>
    <w:rsid w:val="00F866A5"/>
    <w:rsid w:val="00F86E9A"/>
    <w:rsid w:val="00F87388"/>
    <w:rsid w:val="00F87423"/>
    <w:rsid w:val="00F876B2"/>
    <w:rsid w:val="00F877DF"/>
    <w:rsid w:val="00F879AF"/>
    <w:rsid w:val="00F87A6D"/>
    <w:rsid w:val="00F87E94"/>
    <w:rsid w:val="00F87EB5"/>
    <w:rsid w:val="00F87F98"/>
    <w:rsid w:val="00F90108"/>
    <w:rsid w:val="00F9036B"/>
    <w:rsid w:val="00F9038C"/>
    <w:rsid w:val="00F9071B"/>
    <w:rsid w:val="00F90A2F"/>
    <w:rsid w:val="00F90A5B"/>
    <w:rsid w:val="00F90AE3"/>
    <w:rsid w:val="00F91113"/>
    <w:rsid w:val="00F911FE"/>
    <w:rsid w:val="00F916F4"/>
    <w:rsid w:val="00F920BA"/>
    <w:rsid w:val="00F923DC"/>
    <w:rsid w:val="00F9280E"/>
    <w:rsid w:val="00F92AA0"/>
    <w:rsid w:val="00F92AC2"/>
    <w:rsid w:val="00F92D25"/>
    <w:rsid w:val="00F93550"/>
    <w:rsid w:val="00F939BB"/>
    <w:rsid w:val="00F93DD1"/>
    <w:rsid w:val="00F940B1"/>
    <w:rsid w:val="00F94399"/>
    <w:rsid w:val="00F95391"/>
    <w:rsid w:val="00F957C9"/>
    <w:rsid w:val="00F95966"/>
    <w:rsid w:val="00F95EAD"/>
    <w:rsid w:val="00F961AA"/>
    <w:rsid w:val="00F96482"/>
    <w:rsid w:val="00F9655C"/>
    <w:rsid w:val="00F966CA"/>
    <w:rsid w:val="00F96990"/>
    <w:rsid w:val="00F96A88"/>
    <w:rsid w:val="00F96CFB"/>
    <w:rsid w:val="00F96E54"/>
    <w:rsid w:val="00F97B13"/>
    <w:rsid w:val="00FA0B95"/>
    <w:rsid w:val="00FA0FEC"/>
    <w:rsid w:val="00FA145A"/>
    <w:rsid w:val="00FA1B4B"/>
    <w:rsid w:val="00FA1E65"/>
    <w:rsid w:val="00FA2067"/>
    <w:rsid w:val="00FA2148"/>
    <w:rsid w:val="00FA2362"/>
    <w:rsid w:val="00FA2B14"/>
    <w:rsid w:val="00FA2C2D"/>
    <w:rsid w:val="00FA3628"/>
    <w:rsid w:val="00FA423E"/>
    <w:rsid w:val="00FA4363"/>
    <w:rsid w:val="00FA43BE"/>
    <w:rsid w:val="00FA4AE3"/>
    <w:rsid w:val="00FA564A"/>
    <w:rsid w:val="00FA5829"/>
    <w:rsid w:val="00FA5A1D"/>
    <w:rsid w:val="00FA5A84"/>
    <w:rsid w:val="00FA5CE0"/>
    <w:rsid w:val="00FA5D5F"/>
    <w:rsid w:val="00FA5FC9"/>
    <w:rsid w:val="00FA6215"/>
    <w:rsid w:val="00FA63ED"/>
    <w:rsid w:val="00FA641B"/>
    <w:rsid w:val="00FA674E"/>
    <w:rsid w:val="00FA67D2"/>
    <w:rsid w:val="00FA68B9"/>
    <w:rsid w:val="00FA6E4D"/>
    <w:rsid w:val="00FA700F"/>
    <w:rsid w:val="00FA71E1"/>
    <w:rsid w:val="00FA75E9"/>
    <w:rsid w:val="00FA7C77"/>
    <w:rsid w:val="00FA7D27"/>
    <w:rsid w:val="00FA7E07"/>
    <w:rsid w:val="00FB0395"/>
    <w:rsid w:val="00FB0671"/>
    <w:rsid w:val="00FB09FA"/>
    <w:rsid w:val="00FB0A9D"/>
    <w:rsid w:val="00FB1443"/>
    <w:rsid w:val="00FB1497"/>
    <w:rsid w:val="00FB15BA"/>
    <w:rsid w:val="00FB1736"/>
    <w:rsid w:val="00FB1F60"/>
    <w:rsid w:val="00FB219D"/>
    <w:rsid w:val="00FB2251"/>
    <w:rsid w:val="00FB268D"/>
    <w:rsid w:val="00FB28F7"/>
    <w:rsid w:val="00FB2FB8"/>
    <w:rsid w:val="00FB3361"/>
    <w:rsid w:val="00FB3733"/>
    <w:rsid w:val="00FB3D29"/>
    <w:rsid w:val="00FB4362"/>
    <w:rsid w:val="00FB4460"/>
    <w:rsid w:val="00FB46A7"/>
    <w:rsid w:val="00FB47B0"/>
    <w:rsid w:val="00FB482C"/>
    <w:rsid w:val="00FB4C0E"/>
    <w:rsid w:val="00FB4D35"/>
    <w:rsid w:val="00FB4F4E"/>
    <w:rsid w:val="00FB529E"/>
    <w:rsid w:val="00FB59D8"/>
    <w:rsid w:val="00FB5AE0"/>
    <w:rsid w:val="00FB5DAD"/>
    <w:rsid w:val="00FB5FAA"/>
    <w:rsid w:val="00FB5FED"/>
    <w:rsid w:val="00FB6C31"/>
    <w:rsid w:val="00FB7284"/>
    <w:rsid w:val="00FB7328"/>
    <w:rsid w:val="00FB7490"/>
    <w:rsid w:val="00FB779A"/>
    <w:rsid w:val="00FB77F2"/>
    <w:rsid w:val="00FC026C"/>
    <w:rsid w:val="00FC09E7"/>
    <w:rsid w:val="00FC0B39"/>
    <w:rsid w:val="00FC1232"/>
    <w:rsid w:val="00FC1233"/>
    <w:rsid w:val="00FC1416"/>
    <w:rsid w:val="00FC1578"/>
    <w:rsid w:val="00FC1F00"/>
    <w:rsid w:val="00FC1FA6"/>
    <w:rsid w:val="00FC2155"/>
    <w:rsid w:val="00FC23E4"/>
    <w:rsid w:val="00FC283F"/>
    <w:rsid w:val="00FC28E2"/>
    <w:rsid w:val="00FC292A"/>
    <w:rsid w:val="00FC3368"/>
    <w:rsid w:val="00FC3432"/>
    <w:rsid w:val="00FC351C"/>
    <w:rsid w:val="00FC381D"/>
    <w:rsid w:val="00FC3C69"/>
    <w:rsid w:val="00FC3DF1"/>
    <w:rsid w:val="00FC3E92"/>
    <w:rsid w:val="00FC41B5"/>
    <w:rsid w:val="00FC4384"/>
    <w:rsid w:val="00FC4525"/>
    <w:rsid w:val="00FC4883"/>
    <w:rsid w:val="00FC4B19"/>
    <w:rsid w:val="00FC4C58"/>
    <w:rsid w:val="00FC4CD7"/>
    <w:rsid w:val="00FC4D4C"/>
    <w:rsid w:val="00FC4D4F"/>
    <w:rsid w:val="00FC5299"/>
    <w:rsid w:val="00FC52A6"/>
    <w:rsid w:val="00FC52E1"/>
    <w:rsid w:val="00FC59D7"/>
    <w:rsid w:val="00FC5A83"/>
    <w:rsid w:val="00FC5E26"/>
    <w:rsid w:val="00FC5F68"/>
    <w:rsid w:val="00FC63F7"/>
    <w:rsid w:val="00FC68FA"/>
    <w:rsid w:val="00FC6D58"/>
    <w:rsid w:val="00FC6E30"/>
    <w:rsid w:val="00FC6E5A"/>
    <w:rsid w:val="00FC6F34"/>
    <w:rsid w:val="00FC776E"/>
    <w:rsid w:val="00FC7870"/>
    <w:rsid w:val="00FC7E72"/>
    <w:rsid w:val="00FC7E94"/>
    <w:rsid w:val="00FC7FF8"/>
    <w:rsid w:val="00FD00F1"/>
    <w:rsid w:val="00FD01C7"/>
    <w:rsid w:val="00FD03F0"/>
    <w:rsid w:val="00FD045A"/>
    <w:rsid w:val="00FD08EF"/>
    <w:rsid w:val="00FD096A"/>
    <w:rsid w:val="00FD0D18"/>
    <w:rsid w:val="00FD1BB0"/>
    <w:rsid w:val="00FD2183"/>
    <w:rsid w:val="00FD2528"/>
    <w:rsid w:val="00FD2CFC"/>
    <w:rsid w:val="00FD3293"/>
    <w:rsid w:val="00FD3662"/>
    <w:rsid w:val="00FD372A"/>
    <w:rsid w:val="00FD3741"/>
    <w:rsid w:val="00FD3802"/>
    <w:rsid w:val="00FD3AFD"/>
    <w:rsid w:val="00FD3DE5"/>
    <w:rsid w:val="00FD3F75"/>
    <w:rsid w:val="00FD467B"/>
    <w:rsid w:val="00FD4DE5"/>
    <w:rsid w:val="00FD4FC5"/>
    <w:rsid w:val="00FD5024"/>
    <w:rsid w:val="00FD5181"/>
    <w:rsid w:val="00FD5275"/>
    <w:rsid w:val="00FD528E"/>
    <w:rsid w:val="00FD5669"/>
    <w:rsid w:val="00FD56C8"/>
    <w:rsid w:val="00FD5BAD"/>
    <w:rsid w:val="00FD5CF1"/>
    <w:rsid w:val="00FD5FDD"/>
    <w:rsid w:val="00FD6B19"/>
    <w:rsid w:val="00FD6FB9"/>
    <w:rsid w:val="00FD6FD7"/>
    <w:rsid w:val="00FD7265"/>
    <w:rsid w:val="00FD7433"/>
    <w:rsid w:val="00FD7989"/>
    <w:rsid w:val="00FD7D1B"/>
    <w:rsid w:val="00FD7E22"/>
    <w:rsid w:val="00FD7E57"/>
    <w:rsid w:val="00FE01BA"/>
    <w:rsid w:val="00FE0D67"/>
    <w:rsid w:val="00FE1314"/>
    <w:rsid w:val="00FE1324"/>
    <w:rsid w:val="00FE1638"/>
    <w:rsid w:val="00FE177B"/>
    <w:rsid w:val="00FE1924"/>
    <w:rsid w:val="00FE1ABA"/>
    <w:rsid w:val="00FE1B47"/>
    <w:rsid w:val="00FE1D78"/>
    <w:rsid w:val="00FE25E2"/>
    <w:rsid w:val="00FE260D"/>
    <w:rsid w:val="00FE26B8"/>
    <w:rsid w:val="00FE2946"/>
    <w:rsid w:val="00FE2F01"/>
    <w:rsid w:val="00FE2F86"/>
    <w:rsid w:val="00FE319C"/>
    <w:rsid w:val="00FE34C4"/>
    <w:rsid w:val="00FE3812"/>
    <w:rsid w:val="00FE3A83"/>
    <w:rsid w:val="00FE4404"/>
    <w:rsid w:val="00FE4583"/>
    <w:rsid w:val="00FE4763"/>
    <w:rsid w:val="00FE4BC8"/>
    <w:rsid w:val="00FE4E65"/>
    <w:rsid w:val="00FE51CE"/>
    <w:rsid w:val="00FE532D"/>
    <w:rsid w:val="00FE5418"/>
    <w:rsid w:val="00FE5563"/>
    <w:rsid w:val="00FE5B17"/>
    <w:rsid w:val="00FE62DC"/>
    <w:rsid w:val="00FE6951"/>
    <w:rsid w:val="00FE6C93"/>
    <w:rsid w:val="00FE6CDB"/>
    <w:rsid w:val="00FE6E4B"/>
    <w:rsid w:val="00FE7161"/>
    <w:rsid w:val="00FE74CF"/>
    <w:rsid w:val="00FE77C1"/>
    <w:rsid w:val="00FE7851"/>
    <w:rsid w:val="00FE7ADC"/>
    <w:rsid w:val="00FE7B0C"/>
    <w:rsid w:val="00FE7B71"/>
    <w:rsid w:val="00FF0057"/>
    <w:rsid w:val="00FF027D"/>
    <w:rsid w:val="00FF02E6"/>
    <w:rsid w:val="00FF04F7"/>
    <w:rsid w:val="00FF08C5"/>
    <w:rsid w:val="00FF09B5"/>
    <w:rsid w:val="00FF0B37"/>
    <w:rsid w:val="00FF1637"/>
    <w:rsid w:val="00FF188B"/>
    <w:rsid w:val="00FF1ECB"/>
    <w:rsid w:val="00FF207C"/>
    <w:rsid w:val="00FF241F"/>
    <w:rsid w:val="00FF2449"/>
    <w:rsid w:val="00FF2469"/>
    <w:rsid w:val="00FF2547"/>
    <w:rsid w:val="00FF26AD"/>
    <w:rsid w:val="00FF2767"/>
    <w:rsid w:val="00FF2809"/>
    <w:rsid w:val="00FF2CA1"/>
    <w:rsid w:val="00FF32BE"/>
    <w:rsid w:val="00FF344F"/>
    <w:rsid w:val="00FF351E"/>
    <w:rsid w:val="00FF3AC6"/>
    <w:rsid w:val="00FF3D43"/>
    <w:rsid w:val="00FF4A51"/>
    <w:rsid w:val="00FF4BA8"/>
    <w:rsid w:val="00FF4BB6"/>
    <w:rsid w:val="00FF4CF0"/>
    <w:rsid w:val="00FF59E9"/>
    <w:rsid w:val="00FF6031"/>
    <w:rsid w:val="00FF6234"/>
    <w:rsid w:val="00FF62EF"/>
    <w:rsid w:val="00FF6872"/>
    <w:rsid w:val="00FF6BBD"/>
    <w:rsid w:val="00FF6DE0"/>
    <w:rsid w:val="00FF730D"/>
    <w:rsid w:val="00FF731B"/>
    <w:rsid w:val="00FF756D"/>
    <w:rsid w:val="00FF7D22"/>
    <w:rsid w:val="01094C8F"/>
    <w:rsid w:val="01284E06"/>
    <w:rsid w:val="012F1F28"/>
    <w:rsid w:val="014D2CB5"/>
    <w:rsid w:val="01E92584"/>
    <w:rsid w:val="02137A01"/>
    <w:rsid w:val="02489799"/>
    <w:rsid w:val="025F130F"/>
    <w:rsid w:val="02B4873E"/>
    <w:rsid w:val="02DEE9F6"/>
    <w:rsid w:val="02F2D2FA"/>
    <w:rsid w:val="038FBA8B"/>
    <w:rsid w:val="03A451D5"/>
    <w:rsid w:val="03E51C43"/>
    <w:rsid w:val="044E3418"/>
    <w:rsid w:val="0455843B"/>
    <w:rsid w:val="04863C7F"/>
    <w:rsid w:val="051A0761"/>
    <w:rsid w:val="05265C35"/>
    <w:rsid w:val="05409F25"/>
    <w:rsid w:val="05754BB1"/>
    <w:rsid w:val="057E1979"/>
    <w:rsid w:val="05C1CA84"/>
    <w:rsid w:val="05E549E6"/>
    <w:rsid w:val="05FCC034"/>
    <w:rsid w:val="060D4D38"/>
    <w:rsid w:val="065E7FD0"/>
    <w:rsid w:val="06769341"/>
    <w:rsid w:val="067E0011"/>
    <w:rsid w:val="069981A9"/>
    <w:rsid w:val="0725E78E"/>
    <w:rsid w:val="0771ECBF"/>
    <w:rsid w:val="078D20FB"/>
    <w:rsid w:val="07D69A1F"/>
    <w:rsid w:val="084205F9"/>
    <w:rsid w:val="084E5FA0"/>
    <w:rsid w:val="085DC8EA"/>
    <w:rsid w:val="086CA671"/>
    <w:rsid w:val="0879167A"/>
    <w:rsid w:val="08A91986"/>
    <w:rsid w:val="08E37C25"/>
    <w:rsid w:val="0900B417"/>
    <w:rsid w:val="09340793"/>
    <w:rsid w:val="093E4FFC"/>
    <w:rsid w:val="094C9B17"/>
    <w:rsid w:val="09883854"/>
    <w:rsid w:val="098F1896"/>
    <w:rsid w:val="09A2EEAA"/>
    <w:rsid w:val="09A40BE7"/>
    <w:rsid w:val="09A4ABC8"/>
    <w:rsid w:val="09FD5841"/>
    <w:rsid w:val="0A4A5419"/>
    <w:rsid w:val="0A57280D"/>
    <w:rsid w:val="0AA32F86"/>
    <w:rsid w:val="0B2B2A79"/>
    <w:rsid w:val="0B6E0D10"/>
    <w:rsid w:val="0B753341"/>
    <w:rsid w:val="0BC825FA"/>
    <w:rsid w:val="0BFBB5F7"/>
    <w:rsid w:val="0C6D677F"/>
    <w:rsid w:val="0D046EA7"/>
    <w:rsid w:val="0D4AE152"/>
    <w:rsid w:val="0DCFEE51"/>
    <w:rsid w:val="0E0F074C"/>
    <w:rsid w:val="0E2AD3AB"/>
    <w:rsid w:val="0E2F81A4"/>
    <w:rsid w:val="0EA62BF4"/>
    <w:rsid w:val="0EAAB240"/>
    <w:rsid w:val="0F333DBE"/>
    <w:rsid w:val="0F346E73"/>
    <w:rsid w:val="0F9BF5BD"/>
    <w:rsid w:val="0FBF4896"/>
    <w:rsid w:val="0FD45F3B"/>
    <w:rsid w:val="10A889E9"/>
    <w:rsid w:val="10C17B70"/>
    <w:rsid w:val="11014AD4"/>
    <w:rsid w:val="110512CE"/>
    <w:rsid w:val="115C7181"/>
    <w:rsid w:val="11AD4E02"/>
    <w:rsid w:val="11F81C09"/>
    <w:rsid w:val="1227C967"/>
    <w:rsid w:val="12564C17"/>
    <w:rsid w:val="125D59A2"/>
    <w:rsid w:val="12633B74"/>
    <w:rsid w:val="12653E0C"/>
    <w:rsid w:val="12746604"/>
    <w:rsid w:val="12755CBE"/>
    <w:rsid w:val="12CDFE84"/>
    <w:rsid w:val="1316F9F4"/>
    <w:rsid w:val="135AB8DF"/>
    <w:rsid w:val="13724209"/>
    <w:rsid w:val="13A28B0E"/>
    <w:rsid w:val="1431277E"/>
    <w:rsid w:val="14A738E6"/>
    <w:rsid w:val="14E672E9"/>
    <w:rsid w:val="150062EB"/>
    <w:rsid w:val="150DA070"/>
    <w:rsid w:val="15BEC7C8"/>
    <w:rsid w:val="15CBB389"/>
    <w:rsid w:val="15CDB359"/>
    <w:rsid w:val="15EDF974"/>
    <w:rsid w:val="1637E272"/>
    <w:rsid w:val="16848F23"/>
    <w:rsid w:val="169E9178"/>
    <w:rsid w:val="16A438DE"/>
    <w:rsid w:val="16BDE17C"/>
    <w:rsid w:val="16FF7AEE"/>
    <w:rsid w:val="1714026A"/>
    <w:rsid w:val="174C96A7"/>
    <w:rsid w:val="175EEBFC"/>
    <w:rsid w:val="176E1AF2"/>
    <w:rsid w:val="1782F4AB"/>
    <w:rsid w:val="17AF02AB"/>
    <w:rsid w:val="182A9D72"/>
    <w:rsid w:val="182D949E"/>
    <w:rsid w:val="1843B1A9"/>
    <w:rsid w:val="187C6877"/>
    <w:rsid w:val="187E0025"/>
    <w:rsid w:val="18A24ACC"/>
    <w:rsid w:val="18CF7BB2"/>
    <w:rsid w:val="18DB1B8E"/>
    <w:rsid w:val="18ED5585"/>
    <w:rsid w:val="192BAB25"/>
    <w:rsid w:val="192C0E6C"/>
    <w:rsid w:val="19BC0031"/>
    <w:rsid w:val="19C6E9DE"/>
    <w:rsid w:val="19CEC3B0"/>
    <w:rsid w:val="19E80C2C"/>
    <w:rsid w:val="1A019782"/>
    <w:rsid w:val="1A1D5511"/>
    <w:rsid w:val="1A287FA0"/>
    <w:rsid w:val="1A2B1649"/>
    <w:rsid w:val="1A31B492"/>
    <w:rsid w:val="1A435A90"/>
    <w:rsid w:val="1A43AA7A"/>
    <w:rsid w:val="1A5A4BFA"/>
    <w:rsid w:val="1A78ECEE"/>
    <w:rsid w:val="1A840E25"/>
    <w:rsid w:val="1AAF9C73"/>
    <w:rsid w:val="1ADE8411"/>
    <w:rsid w:val="1B0E8241"/>
    <w:rsid w:val="1B295575"/>
    <w:rsid w:val="1B5E5A3E"/>
    <w:rsid w:val="1B887477"/>
    <w:rsid w:val="1B89A605"/>
    <w:rsid w:val="1B9A688A"/>
    <w:rsid w:val="1C2A07E8"/>
    <w:rsid w:val="1C3122BA"/>
    <w:rsid w:val="1D0ACCC6"/>
    <w:rsid w:val="1D9AB242"/>
    <w:rsid w:val="1E255DA1"/>
    <w:rsid w:val="1E834F6E"/>
    <w:rsid w:val="1E8DD51E"/>
    <w:rsid w:val="1E98165F"/>
    <w:rsid w:val="1EF4A3D9"/>
    <w:rsid w:val="1EF54DD0"/>
    <w:rsid w:val="1EFBBB1B"/>
    <w:rsid w:val="1F40F07C"/>
    <w:rsid w:val="1F48A7EA"/>
    <w:rsid w:val="1F8347D5"/>
    <w:rsid w:val="1FD485E2"/>
    <w:rsid w:val="2011597C"/>
    <w:rsid w:val="204371C7"/>
    <w:rsid w:val="206EBEB6"/>
    <w:rsid w:val="208AFB74"/>
    <w:rsid w:val="208C600C"/>
    <w:rsid w:val="214FE894"/>
    <w:rsid w:val="2150DA1B"/>
    <w:rsid w:val="2185A5FD"/>
    <w:rsid w:val="21A1D5B4"/>
    <w:rsid w:val="21A3BDA5"/>
    <w:rsid w:val="21D9DA09"/>
    <w:rsid w:val="21DF4D65"/>
    <w:rsid w:val="21EBA0C9"/>
    <w:rsid w:val="21F41EA9"/>
    <w:rsid w:val="224A28D8"/>
    <w:rsid w:val="22C96A19"/>
    <w:rsid w:val="22CEF816"/>
    <w:rsid w:val="2352DAB0"/>
    <w:rsid w:val="236B87CB"/>
    <w:rsid w:val="23D838B1"/>
    <w:rsid w:val="24069DC6"/>
    <w:rsid w:val="2464F82E"/>
    <w:rsid w:val="24716FA1"/>
    <w:rsid w:val="250F2DA4"/>
    <w:rsid w:val="251A6470"/>
    <w:rsid w:val="2549A903"/>
    <w:rsid w:val="2551CC81"/>
    <w:rsid w:val="2588B24F"/>
    <w:rsid w:val="258C9EE3"/>
    <w:rsid w:val="25B8D477"/>
    <w:rsid w:val="25CB77BE"/>
    <w:rsid w:val="25EF1349"/>
    <w:rsid w:val="260A62E4"/>
    <w:rsid w:val="265221AD"/>
    <w:rsid w:val="266D048F"/>
    <w:rsid w:val="26A8414C"/>
    <w:rsid w:val="26AC4CB2"/>
    <w:rsid w:val="26E38611"/>
    <w:rsid w:val="2707DDD9"/>
    <w:rsid w:val="27085DA0"/>
    <w:rsid w:val="271D2A1A"/>
    <w:rsid w:val="271F6481"/>
    <w:rsid w:val="27497983"/>
    <w:rsid w:val="274AC43B"/>
    <w:rsid w:val="277F8B71"/>
    <w:rsid w:val="279716A9"/>
    <w:rsid w:val="27C730C1"/>
    <w:rsid w:val="27DDC9A1"/>
    <w:rsid w:val="2813E3E1"/>
    <w:rsid w:val="287F7C62"/>
    <w:rsid w:val="28CEFDE8"/>
    <w:rsid w:val="28FFD41C"/>
    <w:rsid w:val="290DE17F"/>
    <w:rsid w:val="29A34BA9"/>
    <w:rsid w:val="29ACBEF2"/>
    <w:rsid w:val="29AE5C98"/>
    <w:rsid w:val="29CD3E61"/>
    <w:rsid w:val="2A11EA60"/>
    <w:rsid w:val="2A4163A2"/>
    <w:rsid w:val="2A6BDC50"/>
    <w:rsid w:val="2A7B435C"/>
    <w:rsid w:val="2AC65836"/>
    <w:rsid w:val="2B23C7F5"/>
    <w:rsid w:val="2BB1FACF"/>
    <w:rsid w:val="2C06B9A0"/>
    <w:rsid w:val="2C1822C7"/>
    <w:rsid w:val="2C3E4C54"/>
    <w:rsid w:val="2C47CDE3"/>
    <w:rsid w:val="2CB4F9A9"/>
    <w:rsid w:val="2CF06129"/>
    <w:rsid w:val="2D100491"/>
    <w:rsid w:val="2D1E2B81"/>
    <w:rsid w:val="2D44E9B5"/>
    <w:rsid w:val="2D9DF1FD"/>
    <w:rsid w:val="2DB4C6AE"/>
    <w:rsid w:val="2E001AD7"/>
    <w:rsid w:val="2E162C8C"/>
    <w:rsid w:val="2E704D39"/>
    <w:rsid w:val="2F271AA0"/>
    <w:rsid w:val="2F2FB28C"/>
    <w:rsid w:val="3044FD6D"/>
    <w:rsid w:val="30542FE6"/>
    <w:rsid w:val="305E541D"/>
    <w:rsid w:val="30B0A14A"/>
    <w:rsid w:val="30D8EE45"/>
    <w:rsid w:val="30EB64B0"/>
    <w:rsid w:val="30ED6EAC"/>
    <w:rsid w:val="310E902B"/>
    <w:rsid w:val="3131FE76"/>
    <w:rsid w:val="3217AD3F"/>
    <w:rsid w:val="322B5F55"/>
    <w:rsid w:val="323727B5"/>
    <w:rsid w:val="3246DD99"/>
    <w:rsid w:val="32ADBAB0"/>
    <w:rsid w:val="32EF3702"/>
    <w:rsid w:val="32FC62D4"/>
    <w:rsid w:val="331EEF86"/>
    <w:rsid w:val="3331D7FD"/>
    <w:rsid w:val="33355B6E"/>
    <w:rsid w:val="3362F271"/>
    <w:rsid w:val="337B41B0"/>
    <w:rsid w:val="33F7793C"/>
    <w:rsid w:val="34C0E2EA"/>
    <w:rsid w:val="359423D7"/>
    <w:rsid w:val="359569C7"/>
    <w:rsid w:val="359B7386"/>
    <w:rsid w:val="35A23260"/>
    <w:rsid w:val="35D5B6D7"/>
    <w:rsid w:val="35D892C8"/>
    <w:rsid w:val="35FA5119"/>
    <w:rsid w:val="36D05018"/>
    <w:rsid w:val="36D154A2"/>
    <w:rsid w:val="3717E994"/>
    <w:rsid w:val="37A7FC88"/>
    <w:rsid w:val="37B14EAF"/>
    <w:rsid w:val="37CE35AF"/>
    <w:rsid w:val="3842B804"/>
    <w:rsid w:val="38A06FE5"/>
    <w:rsid w:val="38D01D95"/>
    <w:rsid w:val="38DE433E"/>
    <w:rsid w:val="38FE4825"/>
    <w:rsid w:val="395278DF"/>
    <w:rsid w:val="39600270"/>
    <w:rsid w:val="396D48EF"/>
    <w:rsid w:val="3982E8B9"/>
    <w:rsid w:val="39FF7F17"/>
    <w:rsid w:val="3A2340C3"/>
    <w:rsid w:val="3A24530D"/>
    <w:rsid w:val="3A24EA85"/>
    <w:rsid w:val="3A3D4163"/>
    <w:rsid w:val="3ACA96BD"/>
    <w:rsid w:val="3B863923"/>
    <w:rsid w:val="3B89FCD9"/>
    <w:rsid w:val="3B949E37"/>
    <w:rsid w:val="3BA51DCD"/>
    <w:rsid w:val="3BE87AC1"/>
    <w:rsid w:val="3C052B75"/>
    <w:rsid w:val="3C3C5A3A"/>
    <w:rsid w:val="3C408473"/>
    <w:rsid w:val="3C45EF0A"/>
    <w:rsid w:val="3C6551C4"/>
    <w:rsid w:val="3C883DCB"/>
    <w:rsid w:val="3CC51928"/>
    <w:rsid w:val="3D0DCB3A"/>
    <w:rsid w:val="3D192376"/>
    <w:rsid w:val="3D560E26"/>
    <w:rsid w:val="3D754BFD"/>
    <w:rsid w:val="3D88DC0B"/>
    <w:rsid w:val="3D8C2010"/>
    <w:rsid w:val="3DD511F0"/>
    <w:rsid w:val="3E155FC2"/>
    <w:rsid w:val="3E15AB82"/>
    <w:rsid w:val="3E277105"/>
    <w:rsid w:val="3E33202A"/>
    <w:rsid w:val="3E3ECA67"/>
    <w:rsid w:val="3ED072E4"/>
    <w:rsid w:val="3EE5E67B"/>
    <w:rsid w:val="3EED8E5B"/>
    <w:rsid w:val="3F1DF990"/>
    <w:rsid w:val="3F2E193E"/>
    <w:rsid w:val="3F60C35A"/>
    <w:rsid w:val="3F9B764E"/>
    <w:rsid w:val="3FAF2AAE"/>
    <w:rsid w:val="3FDBC9B8"/>
    <w:rsid w:val="403EEA58"/>
    <w:rsid w:val="4093FCF6"/>
    <w:rsid w:val="409B7790"/>
    <w:rsid w:val="40A0A8F0"/>
    <w:rsid w:val="40A75BA0"/>
    <w:rsid w:val="41484957"/>
    <w:rsid w:val="417B1B56"/>
    <w:rsid w:val="417EEA60"/>
    <w:rsid w:val="41B9CF51"/>
    <w:rsid w:val="42252F1D"/>
    <w:rsid w:val="42CFE603"/>
    <w:rsid w:val="42E71DC3"/>
    <w:rsid w:val="42ED2C3E"/>
    <w:rsid w:val="43046C4D"/>
    <w:rsid w:val="43243517"/>
    <w:rsid w:val="434DF2ED"/>
    <w:rsid w:val="4357E68D"/>
    <w:rsid w:val="43AE7210"/>
    <w:rsid w:val="43DCDF98"/>
    <w:rsid w:val="43F29B1F"/>
    <w:rsid w:val="444ADBD3"/>
    <w:rsid w:val="44727466"/>
    <w:rsid w:val="447B4C7E"/>
    <w:rsid w:val="447C562C"/>
    <w:rsid w:val="44DD4AA7"/>
    <w:rsid w:val="44DF33F5"/>
    <w:rsid w:val="44EF7F8B"/>
    <w:rsid w:val="4518492A"/>
    <w:rsid w:val="45AA9172"/>
    <w:rsid w:val="4600AF68"/>
    <w:rsid w:val="46866A41"/>
    <w:rsid w:val="46AECC4A"/>
    <w:rsid w:val="46CD592E"/>
    <w:rsid w:val="46D3DAA3"/>
    <w:rsid w:val="4793AD8A"/>
    <w:rsid w:val="47AFF857"/>
    <w:rsid w:val="47B84188"/>
    <w:rsid w:val="47D019B3"/>
    <w:rsid w:val="47E456DD"/>
    <w:rsid w:val="47E5DEFB"/>
    <w:rsid w:val="485C08EE"/>
    <w:rsid w:val="48671BD6"/>
    <w:rsid w:val="49527867"/>
    <w:rsid w:val="495D4C8B"/>
    <w:rsid w:val="4960E90A"/>
    <w:rsid w:val="4966ABEA"/>
    <w:rsid w:val="49799DCF"/>
    <w:rsid w:val="49A99E57"/>
    <w:rsid w:val="49E654D4"/>
    <w:rsid w:val="49E8AB23"/>
    <w:rsid w:val="4A2D3743"/>
    <w:rsid w:val="4A386AF6"/>
    <w:rsid w:val="4A41A1D2"/>
    <w:rsid w:val="4A46F59A"/>
    <w:rsid w:val="4A770669"/>
    <w:rsid w:val="4AADC46D"/>
    <w:rsid w:val="4AB464E1"/>
    <w:rsid w:val="4B2370B1"/>
    <w:rsid w:val="4B3DF21D"/>
    <w:rsid w:val="4B683A73"/>
    <w:rsid w:val="4B737CB5"/>
    <w:rsid w:val="4BA04B27"/>
    <w:rsid w:val="4BC585FC"/>
    <w:rsid w:val="4BD48BF5"/>
    <w:rsid w:val="4BE6183A"/>
    <w:rsid w:val="4C7235BD"/>
    <w:rsid w:val="4C8375BB"/>
    <w:rsid w:val="4CE05DCF"/>
    <w:rsid w:val="4CF16FF7"/>
    <w:rsid w:val="4CF57B04"/>
    <w:rsid w:val="4CFDC6A3"/>
    <w:rsid w:val="4D2F99F9"/>
    <w:rsid w:val="4D6B3E21"/>
    <w:rsid w:val="4D86DC40"/>
    <w:rsid w:val="4D912F38"/>
    <w:rsid w:val="4D921A21"/>
    <w:rsid w:val="4DBC426F"/>
    <w:rsid w:val="4DC3F156"/>
    <w:rsid w:val="4E004E7B"/>
    <w:rsid w:val="4E2432B5"/>
    <w:rsid w:val="4E36436D"/>
    <w:rsid w:val="4E91C4D1"/>
    <w:rsid w:val="4F11D9FC"/>
    <w:rsid w:val="4F60A281"/>
    <w:rsid w:val="4F7A6403"/>
    <w:rsid w:val="4F9C2063"/>
    <w:rsid w:val="4FA038BB"/>
    <w:rsid w:val="4FBE1B3F"/>
    <w:rsid w:val="4FD17012"/>
    <w:rsid w:val="5018D598"/>
    <w:rsid w:val="5037F8BD"/>
    <w:rsid w:val="5070E91D"/>
    <w:rsid w:val="50C27798"/>
    <w:rsid w:val="516AA823"/>
    <w:rsid w:val="5176D55A"/>
    <w:rsid w:val="518E2823"/>
    <w:rsid w:val="52008DDD"/>
    <w:rsid w:val="52199967"/>
    <w:rsid w:val="52372502"/>
    <w:rsid w:val="5274F70C"/>
    <w:rsid w:val="529AE2B9"/>
    <w:rsid w:val="52A6064F"/>
    <w:rsid w:val="52D44FA7"/>
    <w:rsid w:val="531B67C1"/>
    <w:rsid w:val="531C3951"/>
    <w:rsid w:val="53A429E9"/>
    <w:rsid w:val="548E7FE2"/>
    <w:rsid w:val="54940AB5"/>
    <w:rsid w:val="54A7792B"/>
    <w:rsid w:val="551B920C"/>
    <w:rsid w:val="551E724A"/>
    <w:rsid w:val="55581547"/>
    <w:rsid w:val="555AB751"/>
    <w:rsid w:val="555B024C"/>
    <w:rsid w:val="556EC5C4"/>
    <w:rsid w:val="5572F3A9"/>
    <w:rsid w:val="55CEEFF6"/>
    <w:rsid w:val="56375ABB"/>
    <w:rsid w:val="56553E6B"/>
    <w:rsid w:val="5669BFA8"/>
    <w:rsid w:val="5685157E"/>
    <w:rsid w:val="56AB2309"/>
    <w:rsid w:val="56BD4FEA"/>
    <w:rsid w:val="5754C0D3"/>
    <w:rsid w:val="57BE7797"/>
    <w:rsid w:val="582AE65B"/>
    <w:rsid w:val="58800256"/>
    <w:rsid w:val="58F780DA"/>
    <w:rsid w:val="5922C96A"/>
    <w:rsid w:val="596CC3CD"/>
    <w:rsid w:val="5996519F"/>
    <w:rsid w:val="59B63E10"/>
    <w:rsid w:val="59BB0C92"/>
    <w:rsid w:val="59DBBD0C"/>
    <w:rsid w:val="5A2150AF"/>
    <w:rsid w:val="5A53770E"/>
    <w:rsid w:val="5A74FFA0"/>
    <w:rsid w:val="5AA0CEEE"/>
    <w:rsid w:val="5AB574D7"/>
    <w:rsid w:val="5AB68343"/>
    <w:rsid w:val="5ACC5ACE"/>
    <w:rsid w:val="5AD1C0A9"/>
    <w:rsid w:val="5BE1E129"/>
    <w:rsid w:val="5C08EF87"/>
    <w:rsid w:val="5C2DEAB2"/>
    <w:rsid w:val="5C707251"/>
    <w:rsid w:val="5C9F4080"/>
    <w:rsid w:val="5CCA97DE"/>
    <w:rsid w:val="5D5F9E3B"/>
    <w:rsid w:val="5D7BCB33"/>
    <w:rsid w:val="5D8633EF"/>
    <w:rsid w:val="5D875A89"/>
    <w:rsid w:val="5E13983A"/>
    <w:rsid w:val="5EBA6507"/>
    <w:rsid w:val="5FA78058"/>
    <w:rsid w:val="5FBAF77D"/>
    <w:rsid w:val="606FF51E"/>
    <w:rsid w:val="60B90541"/>
    <w:rsid w:val="60CFC7A2"/>
    <w:rsid w:val="60D2AF23"/>
    <w:rsid w:val="60EA8D5D"/>
    <w:rsid w:val="6138A03F"/>
    <w:rsid w:val="6169661A"/>
    <w:rsid w:val="61725E9A"/>
    <w:rsid w:val="618605A5"/>
    <w:rsid w:val="618C3B08"/>
    <w:rsid w:val="6194DC18"/>
    <w:rsid w:val="61C2A545"/>
    <w:rsid w:val="61D1E709"/>
    <w:rsid w:val="622AB941"/>
    <w:rsid w:val="624D34E6"/>
    <w:rsid w:val="62A1CF49"/>
    <w:rsid w:val="62ACDBDC"/>
    <w:rsid w:val="62E78D5E"/>
    <w:rsid w:val="62F036CE"/>
    <w:rsid w:val="633F5A87"/>
    <w:rsid w:val="63DADE79"/>
    <w:rsid w:val="63FD85D1"/>
    <w:rsid w:val="642F838A"/>
    <w:rsid w:val="64AA1653"/>
    <w:rsid w:val="651EEE44"/>
    <w:rsid w:val="658B69E6"/>
    <w:rsid w:val="65D0B9BD"/>
    <w:rsid w:val="666F8A3B"/>
    <w:rsid w:val="669F17EF"/>
    <w:rsid w:val="6751F6B8"/>
    <w:rsid w:val="6778C74D"/>
    <w:rsid w:val="67D01FCE"/>
    <w:rsid w:val="67F8CD8F"/>
    <w:rsid w:val="6820C6A0"/>
    <w:rsid w:val="68289F7C"/>
    <w:rsid w:val="6882BB6D"/>
    <w:rsid w:val="68A7E018"/>
    <w:rsid w:val="68CF3E76"/>
    <w:rsid w:val="68DB82B9"/>
    <w:rsid w:val="68E4EA4D"/>
    <w:rsid w:val="691B4829"/>
    <w:rsid w:val="693AF6FD"/>
    <w:rsid w:val="695AC1D3"/>
    <w:rsid w:val="698F8F06"/>
    <w:rsid w:val="699113F3"/>
    <w:rsid w:val="6A228D4C"/>
    <w:rsid w:val="6AA0C86F"/>
    <w:rsid w:val="6AAF3507"/>
    <w:rsid w:val="6B47BC25"/>
    <w:rsid w:val="6B6A1358"/>
    <w:rsid w:val="6B6B85E6"/>
    <w:rsid w:val="6BB3831E"/>
    <w:rsid w:val="6BD427DD"/>
    <w:rsid w:val="6C0582D5"/>
    <w:rsid w:val="6C12D84B"/>
    <w:rsid w:val="6C28FF29"/>
    <w:rsid w:val="6C54DE0D"/>
    <w:rsid w:val="6C5525EC"/>
    <w:rsid w:val="6C5C81C0"/>
    <w:rsid w:val="6CCDA409"/>
    <w:rsid w:val="6CD86F19"/>
    <w:rsid w:val="6CDBDCCE"/>
    <w:rsid w:val="6D176D53"/>
    <w:rsid w:val="6D525BDF"/>
    <w:rsid w:val="6DA95661"/>
    <w:rsid w:val="6DBD14D9"/>
    <w:rsid w:val="6DEA3AC0"/>
    <w:rsid w:val="6E013F5D"/>
    <w:rsid w:val="6E2B0C92"/>
    <w:rsid w:val="6E835235"/>
    <w:rsid w:val="6E8956CB"/>
    <w:rsid w:val="6E918B58"/>
    <w:rsid w:val="6EBB2E2B"/>
    <w:rsid w:val="6FCE27CB"/>
    <w:rsid w:val="706233A7"/>
    <w:rsid w:val="70A12167"/>
    <w:rsid w:val="70B15ECA"/>
    <w:rsid w:val="711D13BE"/>
    <w:rsid w:val="71396DA3"/>
    <w:rsid w:val="717B3E39"/>
    <w:rsid w:val="7192164E"/>
    <w:rsid w:val="71E6DE1D"/>
    <w:rsid w:val="72372E64"/>
    <w:rsid w:val="72472B53"/>
    <w:rsid w:val="7290AC08"/>
    <w:rsid w:val="72CEB519"/>
    <w:rsid w:val="72E99458"/>
    <w:rsid w:val="7308A492"/>
    <w:rsid w:val="734A2297"/>
    <w:rsid w:val="73630D59"/>
    <w:rsid w:val="736762EA"/>
    <w:rsid w:val="73D0F766"/>
    <w:rsid w:val="74521236"/>
    <w:rsid w:val="745CECA3"/>
    <w:rsid w:val="748A9769"/>
    <w:rsid w:val="748E7582"/>
    <w:rsid w:val="74B4946A"/>
    <w:rsid w:val="7502EBA8"/>
    <w:rsid w:val="7509AC4C"/>
    <w:rsid w:val="75135299"/>
    <w:rsid w:val="75278D4A"/>
    <w:rsid w:val="7535824B"/>
    <w:rsid w:val="754F7AF4"/>
    <w:rsid w:val="7606F895"/>
    <w:rsid w:val="763DFB5A"/>
    <w:rsid w:val="76570616"/>
    <w:rsid w:val="767A2898"/>
    <w:rsid w:val="76C32CEA"/>
    <w:rsid w:val="76D855AA"/>
    <w:rsid w:val="7720DC0E"/>
    <w:rsid w:val="77501211"/>
    <w:rsid w:val="77691F01"/>
    <w:rsid w:val="77705DAB"/>
    <w:rsid w:val="777499D5"/>
    <w:rsid w:val="77B44237"/>
    <w:rsid w:val="78122A12"/>
    <w:rsid w:val="782BF64F"/>
    <w:rsid w:val="784D9FB1"/>
    <w:rsid w:val="7873F475"/>
    <w:rsid w:val="7910DFEF"/>
    <w:rsid w:val="794E944A"/>
    <w:rsid w:val="796EFF62"/>
    <w:rsid w:val="79BC909D"/>
    <w:rsid w:val="79EE919C"/>
    <w:rsid w:val="7A3A8964"/>
    <w:rsid w:val="7A49E2AC"/>
    <w:rsid w:val="7AFBA98A"/>
    <w:rsid w:val="7B488FF5"/>
    <w:rsid w:val="7B7124F5"/>
    <w:rsid w:val="7BCCC32B"/>
    <w:rsid w:val="7BD389ED"/>
    <w:rsid w:val="7BF04DE2"/>
    <w:rsid w:val="7C0FE2A4"/>
    <w:rsid w:val="7C870A15"/>
    <w:rsid w:val="7CF92ED1"/>
    <w:rsid w:val="7D6AAA6B"/>
    <w:rsid w:val="7D6D8F51"/>
    <w:rsid w:val="7DB9E863"/>
    <w:rsid w:val="7DC2487E"/>
    <w:rsid w:val="7E03985B"/>
    <w:rsid w:val="7E10F881"/>
    <w:rsid w:val="7E26D891"/>
    <w:rsid w:val="7E3E6542"/>
    <w:rsid w:val="7E537C90"/>
    <w:rsid w:val="7E58B0FC"/>
    <w:rsid w:val="7F31915F"/>
    <w:rsid w:val="7F3E43CD"/>
    <w:rsid w:val="7F40D3F8"/>
    <w:rsid w:val="7F83A56C"/>
    <w:rsid w:val="7FC089A3"/>
    <w:rsid w:val="7FF34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AAE2"/>
  <w15:chartTrackingRefBased/>
  <w15:docId w15:val="{5B9027BB-61A8-413B-BBD4-FAADDD0D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38"/>
    <w:pPr>
      <w:spacing w:line="256" w:lineRule="auto"/>
    </w:pPr>
    <w:rPr>
      <w:lang w:val="en-SG"/>
    </w:rPr>
  </w:style>
  <w:style w:type="paragraph" w:styleId="Heading1">
    <w:name w:val="heading 1"/>
    <w:basedOn w:val="Normal"/>
    <w:next w:val="Normal"/>
    <w:link w:val="Heading1Char"/>
    <w:uiPriority w:val="9"/>
    <w:qFormat/>
    <w:rsid w:val="00EA10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0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604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sid w:val="00F55469"/>
    <w:rPr>
      <w:color w:val="2B579A"/>
      <w:shd w:val="clear" w:color="auto" w:fill="E6E6E6"/>
    </w:rPr>
  </w:style>
  <w:style w:type="paragraph" w:styleId="ListParagraph">
    <w:name w:val="List Paragraph"/>
    <w:aliases w:val="alphabet listing,RUS List,Noise heading,Text,Cell bullets,Credits,Number abc,a List Paragraph,List Paragraph1,Normal 1,Rec para,Dot pt,F5 List Paragraph,No Spacing1,List Paragraph Char Char Char,Indicator Text,Numbered Para 1,Bullet 1,L,本"/>
    <w:basedOn w:val="Normal"/>
    <w:link w:val="ListParagraphChar"/>
    <w:uiPriority w:val="34"/>
    <w:qFormat/>
    <w:rsid w:val="00F55469"/>
    <w:pPr>
      <w:ind w:left="720"/>
      <w:contextualSpacing/>
    </w:pPr>
  </w:style>
  <w:style w:type="paragraph" w:styleId="CommentText">
    <w:name w:val="annotation text"/>
    <w:basedOn w:val="Normal"/>
    <w:link w:val="CommentTextChar"/>
    <w:uiPriority w:val="99"/>
    <w:unhideWhenUsed/>
    <w:rsid w:val="00F55469"/>
    <w:pPr>
      <w:spacing w:line="240" w:lineRule="auto"/>
    </w:pPr>
    <w:rPr>
      <w:sz w:val="20"/>
      <w:szCs w:val="20"/>
    </w:rPr>
  </w:style>
  <w:style w:type="character" w:customStyle="1" w:styleId="CommentTextChar">
    <w:name w:val="Comment Text Char"/>
    <w:basedOn w:val="DefaultParagraphFont"/>
    <w:link w:val="CommentText"/>
    <w:uiPriority w:val="99"/>
    <w:rsid w:val="00F55469"/>
    <w:rPr>
      <w:sz w:val="20"/>
      <w:szCs w:val="20"/>
    </w:rPr>
  </w:style>
  <w:style w:type="character" w:styleId="CommentReference">
    <w:name w:val="annotation reference"/>
    <w:basedOn w:val="DefaultParagraphFont"/>
    <w:uiPriority w:val="99"/>
    <w:unhideWhenUsed/>
    <w:rsid w:val="00F55469"/>
    <w:rPr>
      <w:sz w:val="16"/>
      <w:szCs w:val="16"/>
    </w:rPr>
  </w:style>
  <w:style w:type="paragraph" w:styleId="CommentSubject">
    <w:name w:val="annotation subject"/>
    <w:basedOn w:val="CommentText"/>
    <w:next w:val="CommentText"/>
    <w:link w:val="CommentSubjectChar"/>
    <w:uiPriority w:val="99"/>
    <w:semiHidden/>
    <w:unhideWhenUsed/>
    <w:rsid w:val="004B7EAA"/>
    <w:rPr>
      <w:b/>
      <w:bCs/>
    </w:rPr>
  </w:style>
  <w:style w:type="character" w:customStyle="1" w:styleId="CommentSubjectChar">
    <w:name w:val="Comment Subject Char"/>
    <w:basedOn w:val="CommentTextChar"/>
    <w:link w:val="CommentSubject"/>
    <w:uiPriority w:val="99"/>
    <w:semiHidden/>
    <w:rsid w:val="004B7EAA"/>
    <w:rPr>
      <w:b/>
      <w:bCs/>
      <w:sz w:val="20"/>
      <w:szCs w:val="20"/>
    </w:rPr>
  </w:style>
  <w:style w:type="character" w:customStyle="1" w:styleId="A23">
    <w:name w:val="A23"/>
    <w:uiPriority w:val="99"/>
    <w:rsid w:val="00832262"/>
    <w:rPr>
      <w:rFonts w:cs="Proxima Nova"/>
      <w:color w:val="000000"/>
      <w:sz w:val="19"/>
      <w:szCs w:val="19"/>
    </w:rPr>
  </w:style>
  <w:style w:type="character" w:customStyle="1" w:styleId="Heading1Char">
    <w:name w:val="Heading 1 Char"/>
    <w:basedOn w:val="DefaultParagraphFont"/>
    <w:link w:val="Heading1"/>
    <w:uiPriority w:val="9"/>
    <w:rsid w:val="00EA10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10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109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A1097"/>
    <w:pPr>
      <w:spacing w:line="259" w:lineRule="auto"/>
      <w:outlineLvl w:val="9"/>
    </w:pPr>
  </w:style>
  <w:style w:type="paragraph" w:styleId="TOC1">
    <w:name w:val="toc 1"/>
    <w:basedOn w:val="Normal"/>
    <w:next w:val="Normal"/>
    <w:autoRedefine/>
    <w:uiPriority w:val="39"/>
    <w:unhideWhenUsed/>
    <w:rsid w:val="00A62DB5"/>
    <w:pPr>
      <w:tabs>
        <w:tab w:val="right" w:leader="dot" w:pos="9350"/>
      </w:tabs>
    </w:pPr>
  </w:style>
  <w:style w:type="paragraph" w:styleId="TOC2">
    <w:name w:val="toc 2"/>
    <w:basedOn w:val="Normal"/>
    <w:next w:val="Normal"/>
    <w:autoRedefine/>
    <w:uiPriority w:val="39"/>
    <w:unhideWhenUsed/>
    <w:rsid w:val="00D41085"/>
    <w:pPr>
      <w:tabs>
        <w:tab w:val="left" w:pos="660"/>
        <w:tab w:val="right" w:leader="dot" w:pos="9350"/>
      </w:tabs>
      <w:spacing w:after="100"/>
      <w:ind w:left="220"/>
      <w:jc w:val="right"/>
    </w:pPr>
  </w:style>
  <w:style w:type="paragraph" w:styleId="TOC3">
    <w:name w:val="toc 3"/>
    <w:basedOn w:val="Normal"/>
    <w:next w:val="Normal"/>
    <w:autoRedefine/>
    <w:uiPriority w:val="39"/>
    <w:unhideWhenUsed/>
    <w:rsid w:val="0008582E"/>
    <w:pPr>
      <w:tabs>
        <w:tab w:val="left" w:pos="880"/>
        <w:tab w:val="right" w:leader="dot" w:pos="9350"/>
      </w:tabs>
      <w:spacing w:after="100"/>
      <w:ind w:left="440"/>
    </w:pPr>
  </w:style>
  <w:style w:type="character" w:styleId="Hyperlink">
    <w:name w:val="Hyperlink"/>
    <w:basedOn w:val="DefaultParagraphFont"/>
    <w:uiPriority w:val="99"/>
    <w:unhideWhenUsed/>
    <w:rsid w:val="00EA1097"/>
    <w:rPr>
      <w:color w:val="0563C1" w:themeColor="hyperlink"/>
      <w:u w:val="single"/>
    </w:rPr>
  </w:style>
  <w:style w:type="character" w:customStyle="1" w:styleId="normaltextrun">
    <w:name w:val="normaltextrun"/>
    <w:basedOn w:val="DefaultParagraphFont"/>
    <w:rsid w:val="009E14D9"/>
    <w:rPr>
      <w:rFonts w:ascii="Times New Roman" w:hAnsi="Times New Roman" w:cs="Times New Roman" w:hint="default"/>
    </w:rPr>
  </w:style>
  <w:style w:type="character" w:customStyle="1" w:styleId="ListParagraphChar">
    <w:name w:val="List Paragraph Char"/>
    <w:aliases w:val="alphabet listing Char,RUS List Char,Noise heading Char,Text Char,Cell bullets Char,Credits Char,Number abc Char,a List Paragraph Char,List Paragraph1 Char,Normal 1 Char,Rec para Char,Dot pt Char,F5 List Paragraph Char,Bullet 1 Char"/>
    <w:link w:val="ListParagraph"/>
    <w:uiPriority w:val="34"/>
    <w:qFormat/>
    <w:locked/>
    <w:rsid w:val="00176849"/>
  </w:style>
  <w:style w:type="character" w:customStyle="1" w:styleId="A13">
    <w:name w:val="A13"/>
    <w:uiPriority w:val="99"/>
    <w:rsid w:val="00816AB1"/>
    <w:rPr>
      <w:rFonts w:cs="Proxima Nova"/>
      <w:color w:val="000000"/>
      <w:sz w:val="20"/>
      <w:szCs w:val="20"/>
    </w:rPr>
  </w:style>
  <w:style w:type="paragraph" w:styleId="FootnoteText">
    <w:name w:val="footnote text"/>
    <w:aliases w:val="Footnote Text Char1,Footnote Text Char Char1,Footnote Text Char2,Footnote Text Char Char Char Char,Footnote Text Char1 Char1,Footnote Text Char Char Char1,Footnote Text Char3,Footnote Text Char2 Char,Arial,Footnote Text Char1 Char Char,fn"/>
    <w:basedOn w:val="Normal"/>
    <w:link w:val="FootnoteTextChar"/>
    <w:uiPriority w:val="99"/>
    <w:unhideWhenUsed/>
    <w:qFormat/>
    <w:rsid w:val="001F36E8"/>
    <w:pPr>
      <w:spacing w:after="0" w:line="240" w:lineRule="auto"/>
    </w:pPr>
    <w:rPr>
      <w:sz w:val="20"/>
      <w:szCs w:val="20"/>
    </w:rPr>
  </w:style>
  <w:style w:type="character" w:customStyle="1" w:styleId="FootnoteTextChar">
    <w:name w:val="Footnote Text Char"/>
    <w:aliases w:val="Footnote Text Char1 Char,Footnote Text Char Char1 Char,Footnote Text Char2 Char1,Footnote Text Char Char Char Char Char,Footnote Text Char1 Char1 Char,Footnote Text Char Char Char1 Char,Footnote Text Char3 Char,Arial Char,fn Char"/>
    <w:basedOn w:val="DefaultParagraphFont"/>
    <w:link w:val="FootnoteText"/>
    <w:uiPriority w:val="99"/>
    <w:qFormat/>
    <w:rsid w:val="001F36E8"/>
    <w:rPr>
      <w:sz w:val="20"/>
      <w:szCs w:val="20"/>
    </w:rPr>
  </w:style>
  <w:style w:type="character" w:styleId="FootnoteReference">
    <w:name w:val="footnote reference"/>
    <w:aliases w:val="Appel note de bas de p,Footnote,pre-cab,FOOTNOTE,stylish,ftref,16 Point,Superscript 6 Point,fr,Footnote symbol Car Zchn Zchn Char,Footnote Car Zchn Zchn Char,Times 10 Point Car Zchn Zchn Char,Exposant 3 Point Car Zchn Zchn Char,4_G Ch"/>
    <w:basedOn w:val="DefaultParagraphFont"/>
    <w:link w:val="FootnotesymbolCarZchnZchn"/>
    <w:uiPriority w:val="99"/>
    <w:unhideWhenUsed/>
    <w:qFormat/>
    <w:rsid w:val="001F36E8"/>
    <w:rPr>
      <w:vertAlign w:val="superscript"/>
    </w:rPr>
  </w:style>
  <w:style w:type="character" w:styleId="UnresolvedMention">
    <w:name w:val="Unresolved Mention"/>
    <w:basedOn w:val="DefaultParagraphFont"/>
    <w:uiPriority w:val="99"/>
    <w:semiHidden/>
    <w:unhideWhenUsed/>
    <w:rsid w:val="00B27FD8"/>
    <w:rPr>
      <w:color w:val="605E5C"/>
      <w:shd w:val="clear" w:color="auto" w:fill="E1DFDD"/>
    </w:rPr>
  </w:style>
  <w:style w:type="paragraph" w:styleId="Header">
    <w:name w:val="header"/>
    <w:basedOn w:val="Normal"/>
    <w:link w:val="HeaderChar"/>
    <w:uiPriority w:val="99"/>
    <w:unhideWhenUsed/>
    <w:rsid w:val="008A2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7C0"/>
  </w:style>
  <w:style w:type="paragraph" w:styleId="Footer">
    <w:name w:val="footer"/>
    <w:basedOn w:val="Normal"/>
    <w:link w:val="FooterChar"/>
    <w:uiPriority w:val="99"/>
    <w:unhideWhenUsed/>
    <w:rsid w:val="008A2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7C0"/>
  </w:style>
  <w:style w:type="paragraph" w:styleId="NormalWeb">
    <w:name w:val="Normal (Web)"/>
    <w:basedOn w:val="Normal"/>
    <w:uiPriority w:val="99"/>
    <w:unhideWhenUsed/>
    <w:rsid w:val="003D3E95"/>
    <w:rPr>
      <w:rFonts w:ascii="Times New Roman" w:hAnsi="Times New Roman" w:cs="Times New Roman"/>
      <w:sz w:val="24"/>
      <w:szCs w:val="24"/>
    </w:rPr>
  </w:style>
  <w:style w:type="paragraph" w:styleId="BodyText">
    <w:name w:val="Body Text"/>
    <w:basedOn w:val="Normal"/>
    <w:link w:val="BodyTextChar"/>
    <w:uiPriority w:val="99"/>
    <w:unhideWhenUsed/>
    <w:rsid w:val="004721FA"/>
    <w:pPr>
      <w:spacing w:before="120" w:after="120" w:line="240" w:lineRule="auto"/>
      <w:ind w:left="360"/>
      <w:jc w:val="both"/>
    </w:pPr>
    <w:rPr>
      <w:rFonts w:ascii="Arial" w:hAnsi="Arial" w:cs="Arial"/>
      <w:sz w:val="24"/>
      <w:szCs w:val="24"/>
      <w:lang w:eastAsia="en-SG"/>
    </w:rPr>
  </w:style>
  <w:style w:type="character" w:customStyle="1" w:styleId="BodyTextChar">
    <w:name w:val="Body Text Char"/>
    <w:basedOn w:val="DefaultParagraphFont"/>
    <w:link w:val="BodyText"/>
    <w:uiPriority w:val="99"/>
    <w:rsid w:val="004721FA"/>
    <w:rPr>
      <w:rFonts w:ascii="Arial" w:hAnsi="Arial" w:cs="Arial"/>
      <w:sz w:val="24"/>
      <w:szCs w:val="24"/>
      <w:lang w:val="en-SG" w:eastAsia="en-SG"/>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Ref,4_G"/>
    <w:basedOn w:val="CommentText"/>
    <w:next w:val="FootnoteText"/>
    <w:link w:val="FootnoteReference"/>
    <w:uiPriority w:val="99"/>
    <w:rsid w:val="00C87F1A"/>
    <w:pPr>
      <w:suppressAutoHyphens/>
      <w:spacing w:after="0" w:line="240" w:lineRule="exact"/>
      <w:ind w:left="360"/>
      <w:jc w:val="both"/>
    </w:pPr>
    <w:rPr>
      <w:sz w:val="22"/>
      <w:szCs w:val="22"/>
      <w:vertAlign w:val="superscript"/>
    </w:rPr>
  </w:style>
  <w:style w:type="paragraph" w:customStyle="1" w:styleId="Question">
    <w:name w:val="Question"/>
    <w:basedOn w:val="ListParagraph"/>
    <w:link w:val="QuestionChar"/>
    <w:qFormat/>
    <w:rsid w:val="00C87F1A"/>
    <w:pPr>
      <w:numPr>
        <w:numId w:val="5"/>
      </w:numPr>
      <w:spacing w:before="120" w:after="120" w:line="259" w:lineRule="auto"/>
      <w:contextualSpacing w:val="0"/>
      <w:jc w:val="both"/>
    </w:pPr>
    <w:rPr>
      <w:rFonts w:ascii="Arial" w:hAnsi="Arial" w:cs="Arial"/>
      <w:b/>
      <w:bCs/>
      <w:sz w:val="24"/>
      <w:szCs w:val="24"/>
      <w:lang w:eastAsia="en-SG"/>
    </w:rPr>
  </w:style>
  <w:style w:type="character" w:customStyle="1" w:styleId="QuestionChar">
    <w:name w:val="Question Char"/>
    <w:basedOn w:val="ListParagraphChar"/>
    <w:link w:val="Question"/>
    <w:rsid w:val="00C87F1A"/>
    <w:rPr>
      <w:rFonts w:ascii="Arial" w:hAnsi="Arial" w:cs="Arial"/>
      <w:b/>
      <w:bCs/>
      <w:sz w:val="24"/>
      <w:szCs w:val="24"/>
      <w:lang w:val="en-SG" w:eastAsia="en-SG"/>
    </w:rPr>
  </w:style>
  <w:style w:type="paragraph" w:customStyle="1" w:styleId="pf0">
    <w:name w:val="pf0"/>
    <w:basedOn w:val="Normal"/>
    <w:rsid w:val="00B761BA"/>
    <w:pPr>
      <w:spacing w:before="100" w:beforeAutospacing="1" w:after="100" w:afterAutospacing="1" w:line="240" w:lineRule="auto"/>
    </w:pPr>
    <w:rPr>
      <w:rFonts w:ascii="Calibri" w:eastAsia="Times New Roman" w:hAnsi="Calibri" w:cs="Calibri"/>
      <w:lang w:eastAsia="en-SG"/>
    </w:rPr>
  </w:style>
  <w:style w:type="paragraph" w:customStyle="1" w:styleId="gmail-p">
    <w:name w:val="gmail-p"/>
    <w:basedOn w:val="Normal"/>
    <w:rsid w:val="00135EB0"/>
    <w:pPr>
      <w:spacing w:before="100" w:beforeAutospacing="1" w:after="100" w:afterAutospacing="1" w:line="240" w:lineRule="auto"/>
      <w:ind w:left="360"/>
      <w:jc w:val="both"/>
    </w:pPr>
    <w:rPr>
      <w:rFonts w:ascii="Times New Roman" w:eastAsiaTheme="minorEastAsia" w:hAnsi="Times New Roman" w:cs="Times New Roman"/>
      <w:sz w:val="24"/>
      <w:szCs w:val="24"/>
      <w:lang w:eastAsia="zh-CN"/>
    </w:rPr>
  </w:style>
  <w:style w:type="character" w:customStyle="1" w:styleId="eop">
    <w:name w:val="eop"/>
    <w:basedOn w:val="DefaultParagraphFont"/>
    <w:rsid w:val="001D1AFC"/>
  </w:style>
  <w:style w:type="paragraph" w:customStyle="1" w:styleId="Default">
    <w:name w:val="Default"/>
    <w:link w:val="DefaultChar"/>
    <w:rsid w:val="00EB1B88"/>
    <w:pPr>
      <w:autoSpaceDE w:val="0"/>
      <w:autoSpaceDN w:val="0"/>
      <w:adjustRightInd w:val="0"/>
      <w:spacing w:after="0" w:line="240" w:lineRule="auto"/>
    </w:pPr>
    <w:rPr>
      <w:rFonts w:ascii="Generic0-Regular" w:hAnsi="Generic0-Regular" w:cs="Generic0-Regular"/>
      <w:color w:val="000000"/>
      <w:sz w:val="24"/>
      <w:szCs w:val="24"/>
      <w:lang w:val="en-SG"/>
    </w:rPr>
  </w:style>
  <w:style w:type="character" w:styleId="FollowedHyperlink">
    <w:name w:val="FollowedHyperlink"/>
    <w:basedOn w:val="DefaultParagraphFont"/>
    <w:uiPriority w:val="99"/>
    <w:semiHidden/>
    <w:unhideWhenUsed/>
    <w:rsid w:val="00FB268D"/>
    <w:rPr>
      <w:color w:val="954F72" w:themeColor="followedHyperlink"/>
      <w:u w:val="single"/>
    </w:rPr>
  </w:style>
  <w:style w:type="paragraph" w:styleId="BodyTextIndent2">
    <w:name w:val="Body Text Indent 2"/>
    <w:basedOn w:val="Normal"/>
    <w:link w:val="BodyTextIndent2Char"/>
    <w:uiPriority w:val="99"/>
    <w:unhideWhenUsed/>
    <w:rsid w:val="0093202B"/>
    <w:pPr>
      <w:spacing w:after="120" w:line="480" w:lineRule="auto"/>
      <w:ind w:left="283"/>
    </w:pPr>
  </w:style>
  <w:style w:type="character" w:customStyle="1" w:styleId="BodyTextIndent2Char">
    <w:name w:val="Body Text Indent 2 Char"/>
    <w:basedOn w:val="DefaultParagraphFont"/>
    <w:link w:val="BodyTextIndent2"/>
    <w:uiPriority w:val="99"/>
    <w:rsid w:val="0093202B"/>
  </w:style>
  <w:style w:type="paragraph" w:styleId="Revision">
    <w:name w:val="Revision"/>
    <w:hidden/>
    <w:uiPriority w:val="99"/>
    <w:semiHidden/>
    <w:rsid w:val="0060731B"/>
    <w:pPr>
      <w:spacing w:after="0" w:line="240" w:lineRule="auto"/>
    </w:pPr>
  </w:style>
  <w:style w:type="paragraph" w:customStyle="1" w:styleId="Signpost">
    <w:name w:val="Signpost"/>
    <w:basedOn w:val="Question"/>
    <w:link w:val="SignpostChar"/>
    <w:qFormat/>
    <w:rsid w:val="00573684"/>
    <w:pPr>
      <w:numPr>
        <w:numId w:val="0"/>
      </w:numPr>
      <w:ind w:left="360"/>
    </w:pPr>
    <w:rPr>
      <w:bCs w:val="0"/>
      <w:color w:val="4472C4" w:themeColor="accent1"/>
    </w:rPr>
  </w:style>
  <w:style w:type="character" w:customStyle="1" w:styleId="SignpostChar">
    <w:name w:val="Signpost Char"/>
    <w:basedOn w:val="QuestionChar"/>
    <w:link w:val="Signpost"/>
    <w:rsid w:val="0030580B"/>
    <w:rPr>
      <w:rFonts w:ascii="Arial" w:hAnsi="Arial" w:cs="Arial"/>
      <w:b/>
      <w:bCs w:val="0"/>
      <w:color w:val="4472C4" w:themeColor="accent1"/>
      <w:sz w:val="24"/>
      <w:szCs w:val="24"/>
      <w:lang w:val="en-SG" w:eastAsia="en-SG"/>
    </w:rPr>
  </w:style>
  <w:style w:type="character" w:customStyle="1" w:styleId="ui-provider">
    <w:name w:val="ui-provider"/>
    <w:basedOn w:val="DefaultParagraphFont"/>
    <w:rsid w:val="00461BF3"/>
  </w:style>
  <w:style w:type="character" w:customStyle="1" w:styleId="Heading4Char">
    <w:name w:val="Heading 4 Char"/>
    <w:basedOn w:val="DefaultParagraphFont"/>
    <w:link w:val="Heading4"/>
    <w:uiPriority w:val="9"/>
    <w:rsid w:val="00B604D3"/>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2912"/>
    <w:pPr>
      <w:spacing w:after="0" w:line="240" w:lineRule="auto"/>
    </w:pPr>
    <w:rPr>
      <w:rFonts w:ascii="Calibri" w:eastAsia="DengXian" w:hAnsi="Calibri" w:cs="Times New Roman"/>
      <w:lang w:val="en-S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DC1"/>
    <w:pPr>
      <w:spacing w:after="0" w:line="240" w:lineRule="auto"/>
    </w:pPr>
  </w:style>
  <w:style w:type="paragraph" w:styleId="BodyText2">
    <w:name w:val="Body Text 2"/>
    <w:basedOn w:val="Normal"/>
    <w:link w:val="BodyText2Char"/>
    <w:uiPriority w:val="99"/>
    <w:unhideWhenUsed/>
    <w:rsid w:val="001A786C"/>
    <w:pPr>
      <w:jc w:val="both"/>
    </w:pPr>
  </w:style>
  <w:style w:type="character" w:customStyle="1" w:styleId="BodyText2Char">
    <w:name w:val="Body Text 2 Char"/>
    <w:basedOn w:val="DefaultParagraphFont"/>
    <w:link w:val="BodyText2"/>
    <w:uiPriority w:val="99"/>
    <w:rsid w:val="001A786C"/>
    <w:rPr>
      <w:lang w:val="en-SG"/>
    </w:rPr>
  </w:style>
  <w:style w:type="paragraph" w:styleId="BodyText3">
    <w:name w:val="Body Text 3"/>
    <w:basedOn w:val="Normal"/>
    <w:link w:val="BodyText3Char"/>
    <w:uiPriority w:val="99"/>
    <w:unhideWhenUsed/>
    <w:rsid w:val="001A786C"/>
    <w:pPr>
      <w:jc w:val="both"/>
    </w:pPr>
    <w:rPr>
      <w:color w:val="000000"/>
    </w:rPr>
  </w:style>
  <w:style w:type="character" w:customStyle="1" w:styleId="BodyText3Char">
    <w:name w:val="Body Text 3 Char"/>
    <w:basedOn w:val="DefaultParagraphFont"/>
    <w:link w:val="BodyText3"/>
    <w:uiPriority w:val="99"/>
    <w:rsid w:val="001A786C"/>
    <w:rPr>
      <w:color w:val="000000"/>
    </w:rPr>
  </w:style>
  <w:style w:type="character" w:customStyle="1" w:styleId="DefaultChar">
    <w:name w:val="Default Char"/>
    <w:basedOn w:val="DefaultParagraphFont"/>
    <w:link w:val="Default"/>
    <w:rsid w:val="00EC6634"/>
    <w:rPr>
      <w:rFonts w:ascii="Generic0-Regular" w:hAnsi="Generic0-Regular" w:cs="Generic0-Regular"/>
      <w:color w:val="000000"/>
      <w:sz w:val="24"/>
      <w:szCs w:val="24"/>
      <w:lang w:val="en-SG"/>
    </w:rPr>
  </w:style>
  <w:style w:type="character" w:customStyle="1" w:styleId="cf01">
    <w:name w:val="cf01"/>
    <w:basedOn w:val="DefaultParagraphFont"/>
    <w:rsid w:val="00EC6634"/>
    <w:rPr>
      <w:rFonts w:ascii="Segoe UI" w:hAnsi="Segoe UI" w:cs="Segoe UI" w:hint="default"/>
      <w:sz w:val="18"/>
      <w:szCs w:val="18"/>
    </w:rPr>
  </w:style>
  <w:style w:type="character" w:customStyle="1" w:styleId="cf11">
    <w:name w:val="cf11"/>
    <w:basedOn w:val="DefaultParagraphFont"/>
    <w:rsid w:val="00EC66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6955">
      <w:bodyDiv w:val="1"/>
      <w:marLeft w:val="0"/>
      <w:marRight w:val="0"/>
      <w:marTop w:val="0"/>
      <w:marBottom w:val="0"/>
      <w:divBdr>
        <w:top w:val="none" w:sz="0" w:space="0" w:color="auto"/>
        <w:left w:val="none" w:sz="0" w:space="0" w:color="auto"/>
        <w:bottom w:val="none" w:sz="0" w:space="0" w:color="auto"/>
        <w:right w:val="none" w:sz="0" w:space="0" w:color="auto"/>
      </w:divBdr>
    </w:div>
    <w:div w:id="231896180">
      <w:bodyDiv w:val="1"/>
      <w:marLeft w:val="0"/>
      <w:marRight w:val="0"/>
      <w:marTop w:val="0"/>
      <w:marBottom w:val="0"/>
      <w:divBdr>
        <w:top w:val="none" w:sz="0" w:space="0" w:color="auto"/>
        <w:left w:val="none" w:sz="0" w:space="0" w:color="auto"/>
        <w:bottom w:val="none" w:sz="0" w:space="0" w:color="auto"/>
        <w:right w:val="none" w:sz="0" w:space="0" w:color="auto"/>
      </w:divBdr>
    </w:div>
    <w:div w:id="556009757">
      <w:bodyDiv w:val="1"/>
      <w:marLeft w:val="0"/>
      <w:marRight w:val="0"/>
      <w:marTop w:val="0"/>
      <w:marBottom w:val="0"/>
      <w:divBdr>
        <w:top w:val="none" w:sz="0" w:space="0" w:color="auto"/>
        <w:left w:val="none" w:sz="0" w:space="0" w:color="auto"/>
        <w:bottom w:val="none" w:sz="0" w:space="0" w:color="auto"/>
        <w:right w:val="none" w:sz="0" w:space="0" w:color="auto"/>
      </w:divBdr>
    </w:div>
    <w:div w:id="722025200">
      <w:bodyDiv w:val="1"/>
      <w:marLeft w:val="0"/>
      <w:marRight w:val="0"/>
      <w:marTop w:val="0"/>
      <w:marBottom w:val="0"/>
      <w:divBdr>
        <w:top w:val="none" w:sz="0" w:space="0" w:color="auto"/>
        <w:left w:val="none" w:sz="0" w:space="0" w:color="auto"/>
        <w:bottom w:val="none" w:sz="0" w:space="0" w:color="auto"/>
        <w:right w:val="none" w:sz="0" w:space="0" w:color="auto"/>
      </w:divBdr>
    </w:div>
    <w:div w:id="795954813">
      <w:bodyDiv w:val="1"/>
      <w:marLeft w:val="0"/>
      <w:marRight w:val="0"/>
      <w:marTop w:val="0"/>
      <w:marBottom w:val="0"/>
      <w:divBdr>
        <w:top w:val="none" w:sz="0" w:space="0" w:color="auto"/>
        <w:left w:val="none" w:sz="0" w:space="0" w:color="auto"/>
        <w:bottom w:val="none" w:sz="0" w:space="0" w:color="auto"/>
        <w:right w:val="none" w:sz="0" w:space="0" w:color="auto"/>
      </w:divBdr>
    </w:div>
    <w:div w:id="805048146">
      <w:bodyDiv w:val="1"/>
      <w:marLeft w:val="0"/>
      <w:marRight w:val="0"/>
      <w:marTop w:val="0"/>
      <w:marBottom w:val="0"/>
      <w:divBdr>
        <w:top w:val="none" w:sz="0" w:space="0" w:color="auto"/>
        <w:left w:val="none" w:sz="0" w:space="0" w:color="auto"/>
        <w:bottom w:val="none" w:sz="0" w:space="0" w:color="auto"/>
        <w:right w:val="none" w:sz="0" w:space="0" w:color="auto"/>
      </w:divBdr>
    </w:div>
    <w:div w:id="829830938">
      <w:bodyDiv w:val="1"/>
      <w:marLeft w:val="0"/>
      <w:marRight w:val="0"/>
      <w:marTop w:val="0"/>
      <w:marBottom w:val="0"/>
      <w:divBdr>
        <w:top w:val="none" w:sz="0" w:space="0" w:color="auto"/>
        <w:left w:val="none" w:sz="0" w:space="0" w:color="auto"/>
        <w:bottom w:val="none" w:sz="0" w:space="0" w:color="auto"/>
        <w:right w:val="none" w:sz="0" w:space="0" w:color="auto"/>
      </w:divBdr>
    </w:div>
    <w:div w:id="940642966">
      <w:bodyDiv w:val="1"/>
      <w:marLeft w:val="0"/>
      <w:marRight w:val="0"/>
      <w:marTop w:val="0"/>
      <w:marBottom w:val="0"/>
      <w:divBdr>
        <w:top w:val="none" w:sz="0" w:space="0" w:color="auto"/>
        <w:left w:val="none" w:sz="0" w:space="0" w:color="auto"/>
        <w:bottom w:val="none" w:sz="0" w:space="0" w:color="auto"/>
        <w:right w:val="none" w:sz="0" w:space="0" w:color="auto"/>
      </w:divBdr>
    </w:div>
    <w:div w:id="1066680169">
      <w:bodyDiv w:val="1"/>
      <w:marLeft w:val="0"/>
      <w:marRight w:val="0"/>
      <w:marTop w:val="0"/>
      <w:marBottom w:val="0"/>
      <w:divBdr>
        <w:top w:val="none" w:sz="0" w:space="0" w:color="auto"/>
        <w:left w:val="none" w:sz="0" w:space="0" w:color="auto"/>
        <w:bottom w:val="none" w:sz="0" w:space="0" w:color="auto"/>
        <w:right w:val="none" w:sz="0" w:space="0" w:color="auto"/>
      </w:divBdr>
    </w:div>
    <w:div w:id="1078945149">
      <w:bodyDiv w:val="1"/>
      <w:marLeft w:val="0"/>
      <w:marRight w:val="0"/>
      <w:marTop w:val="0"/>
      <w:marBottom w:val="0"/>
      <w:divBdr>
        <w:top w:val="none" w:sz="0" w:space="0" w:color="auto"/>
        <w:left w:val="none" w:sz="0" w:space="0" w:color="auto"/>
        <w:bottom w:val="none" w:sz="0" w:space="0" w:color="auto"/>
        <w:right w:val="none" w:sz="0" w:space="0" w:color="auto"/>
      </w:divBdr>
    </w:div>
    <w:div w:id="1168445259">
      <w:bodyDiv w:val="1"/>
      <w:marLeft w:val="0"/>
      <w:marRight w:val="0"/>
      <w:marTop w:val="0"/>
      <w:marBottom w:val="0"/>
      <w:divBdr>
        <w:top w:val="none" w:sz="0" w:space="0" w:color="auto"/>
        <w:left w:val="none" w:sz="0" w:space="0" w:color="auto"/>
        <w:bottom w:val="none" w:sz="0" w:space="0" w:color="auto"/>
        <w:right w:val="none" w:sz="0" w:space="0" w:color="auto"/>
      </w:divBdr>
    </w:div>
    <w:div w:id="1240754189">
      <w:bodyDiv w:val="1"/>
      <w:marLeft w:val="0"/>
      <w:marRight w:val="0"/>
      <w:marTop w:val="0"/>
      <w:marBottom w:val="0"/>
      <w:divBdr>
        <w:top w:val="none" w:sz="0" w:space="0" w:color="auto"/>
        <w:left w:val="none" w:sz="0" w:space="0" w:color="auto"/>
        <w:bottom w:val="none" w:sz="0" w:space="0" w:color="auto"/>
        <w:right w:val="none" w:sz="0" w:space="0" w:color="auto"/>
      </w:divBdr>
    </w:div>
    <w:div w:id="1391343995">
      <w:bodyDiv w:val="1"/>
      <w:marLeft w:val="0"/>
      <w:marRight w:val="0"/>
      <w:marTop w:val="0"/>
      <w:marBottom w:val="0"/>
      <w:divBdr>
        <w:top w:val="none" w:sz="0" w:space="0" w:color="auto"/>
        <w:left w:val="none" w:sz="0" w:space="0" w:color="auto"/>
        <w:bottom w:val="none" w:sz="0" w:space="0" w:color="auto"/>
        <w:right w:val="none" w:sz="0" w:space="0" w:color="auto"/>
      </w:divBdr>
    </w:div>
    <w:div w:id="1403061138">
      <w:bodyDiv w:val="1"/>
      <w:marLeft w:val="0"/>
      <w:marRight w:val="0"/>
      <w:marTop w:val="0"/>
      <w:marBottom w:val="0"/>
      <w:divBdr>
        <w:top w:val="none" w:sz="0" w:space="0" w:color="auto"/>
        <w:left w:val="none" w:sz="0" w:space="0" w:color="auto"/>
        <w:bottom w:val="none" w:sz="0" w:space="0" w:color="auto"/>
        <w:right w:val="none" w:sz="0" w:space="0" w:color="auto"/>
      </w:divBdr>
    </w:div>
    <w:div w:id="1404715151">
      <w:bodyDiv w:val="1"/>
      <w:marLeft w:val="0"/>
      <w:marRight w:val="0"/>
      <w:marTop w:val="0"/>
      <w:marBottom w:val="0"/>
      <w:divBdr>
        <w:top w:val="none" w:sz="0" w:space="0" w:color="auto"/>
        <w:left w:val="none" w:sz="0" w:space="0" w:color="auto"/>
        <w:bottom w:val="none" w:sz="0" w:space="0" w:color="auto"/>
        <w:right w:val="none" w:sz="0" w:space="0" w:color="auto"/>
      </w:divBdr>
    </w:div>
    <w:div w:id="1459690374">
      <w:bodyDiv w:val="1"/>
      <w:marLeft w:val="0"/>
      <w:marRight w:val="0"/>
      <w:marTop w:val="0"/>
      <w:marBottom w:val="0"/>
      <w:divBdr>
        <w:top w:val="none" w:sz="0" w:space="0" w:color="auto"/>
        <w:left w:val="none" w:sz="0" w:space="0" w:color="auto"/>
        <w:bottom w:val="none" w:sz="0" w:space="0" w:color="auto"/>
        <w:right w:val="none" w:sz="0" w:space="0" w:color="auto"/>
      </w:divBdr>
    </w:div>
    <w:div w:id="1481195178">
      <w:bodyDiv w:val="1"/>
      <w:marLeft w:val="0"/>
      <w:marRight w:val="0"/>
      <w:marTop w:val="0"/>
      <w:marBottom w:val="0"/>
      <w:divBdr>
        <w:top w:val="none" w:sz="0" w:space="0" w:color="auto"/>
        <w:left w:val="none" w:sz="0" w:space="0" w:color="auto"/>
        <w:bottom w:val="none" w:sz="0" w:space="0" w:color="auto"/>
        <w:right w:val="none" w:sz="0" w:space="0" w:color="auto"/>
      </w:divBdr>
    </w:div>
    <w:div w:id="1524244203">
      <w:bodyDiv w:val="1"/>
      <w:marLeft w:val="0"/>
      <w:marRight w:val="0"/>
      <w:marTop w:val="0"/>
      <w:marBottom w:val="0"/>
      <w:divBdr>
        <w:top w:val="none" w:sz="0" w:space="0" w:color="auto"/>
        <w:left w:val="none" w:sz="0" w:space="0" w:color="auto"/>
        <w:bottom w:val="none" w:sz="0" w:space="0" w:color="auto"/>
        <w:right w:val="none" w:sz="0" w:space="0" w:color="auto"/>
      </w:divBdr>
    </w:div>
    <w:div w:id="1593313915">
      <w:bodyDiv w:val="1"/>
      <w:marLeft w:val="0"/>
      <w:marRight w:val="0"/>
      <w:marTop w:val="0"/>
      <w:marBottom w:val="0"/>
      <w:divBdr>
        <w:top w:val="none" w:sz="0" w:space="0" w:color="auto"/>
        <w:left w:val="none" w:sz="0" w:space="0" w:color="auto"/>
        <w:bottom w:val="none" w:sz="0" w:space="0" w:color="auto"/>
        <w:right w:val="none" w:sz="0" w:space="0" w:color="auto"/>
      </w:divBdr>
    </w:div>
    <w:div w:id="1681931993">
      <w:bodyDiv w:val="1"/>
      <w:marLeft w:val="0"/>
      <w:marRight w:val="0"/>
      <w:marTop w:val="0"/>
      <w:marBottom w:val="0"/>
      <w:divBdr>
        <w:top w:val="none" w:sz="0" w:space="0" w:color="auto"/>
        <w:left w:val="none" w:sz="0" w:space="0" w:color="auto"/>
        <w:bottom w:val="none" w:sz="0" w:space="0" w:color="auto"/>
        <w:right w:val="none" w:sz="0" w:space="0" w:color="auto"/>
      </w:divBdr>
    </w:div>
    <w:div w:id="1692491705">
      <w:bodyDiv w:val="1"/>
      <w:marLeft w:val="0"/>
      <w:marRight w:val="0"/>
      <w:marTop w:val="0"/>
      <w:marBottom w:val="0"/>
      <w:divBdr>
        <w:top w:val="none" w:sz="0" w:space="0" w:color="auto"/>
        <w:left w:val="none" w:sz="0" w:space="0" w:color="auto"/>
        <w:bottom w:val="none" w:sz="0" w:space="0" w:color="auto"/>
        <w:right w:val="none" w:sz="0" w:space="0" w:color="auto"/>
      </w:divBdr>
    </w:div>
    <w:div w:id="1732731764">
      <w:bodyDiv w:val="1"/>
      <w:marLeft w:val="0"/>
      <w:marRight w:val="0"/>
      <w:marTop w:val="0"/>
      <w:marBottom w:val="0"/>
      <w:divBdr>
        <w:top w:val="none" w:sz="0" w:space="0" w:color="auto"/>
        <w:left w:val="none" w:sz="0" w:space="0" w:color="auto"/>
        <w:bottom w:val="none" w:sz="0" w:space="0" w:color="auto"/>
        <w:right w:val="none" w:sz="0" w:space="0" w:color="auto"/>
      </w:divBdr>
    </w:div>
    <w:div w:id="1768621000">
      <w:bodyDiv w:val="1"/>
      <w:marLeft w:val="0"/>
      <w:marRight w:val="0"/>
      <w:marTop w:val="0"/>
      <w:marBottom w:val="0"/>
      <w:divBdr>
        <w:top w:val="none" w:sz="0" w:space="0" w:color="auto"/>
        <w:left w:val="none" w:sz="0" w:space="0" w:color="auto"/>
        <w:bottom w:val="none" w:sz="0" w:space="0" w:color="auto"/>
        <w:right w:val="none" w:sz="0" w:space="0" w:color="auto"/>
      </w:divBdr>
    </w:div>
    <w:div w:id="1905136451">
      <w:bodyDiv w:val="1"/>
      <w:marLeft w:val="0"/>
      <w:marRight w:val="0"/>
      <w:marTop w:val="0"/>
      <w:marBottom w:val="0"/>
      <w:divBdr>
        <w:top w:val="none" w:sz="0" w:space="0" w:color="auto"/>
        <w:left w:val="none" w:sz="0" w:space="0" w:color="auto"/>
        <w:bottom w:val="none" w:sz="0" w:space="0" w:color="auto"/>
        <w:right w:val="none" w:sz="0" w:space="0" w:color="auto"/>
      </w:divBdr>
    </w:div>
    <w:div w:id="19830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talAccess@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pf.gov.sg/member/cpf-overview" TargetMode="External"/><Relationship Id="rId1" Type="http://schemas.openxmlformats.org/officeDocument/2006/relationships/hyperlink" Target="https://www.straitstimes.com/business/companies-markets/singapore-posts-highest-percentage-of-women-ceos-globally-deloi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39a22b-6e21-4b8a-8184-23a78dbac9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EB34B453C01D4B80AF2D8FFB71DFAD" ma:contentTypeVersion="13" ma:contentTypeDescription="Create a new document." ma:contentTypeScope="" ma:versionID="3e69771f5b739502da97291437b534d5">
  <xsd:schema xmlns:xsd="http://www.w3.org/2001/XMLSchema" xmlns:xs="http://www.w3.org/2001/XMLSchema" xmlns:p="http://schemas.microsoft.com/office/2006/metadata/properties" xmlns:ns3="9739a22b-6e21-4b8a-8184-23a78dbac9b9" xmlns:ns4="34eaa96a-66aa-4f11-b2f0-6fb6d9a32fb7" targetNamespace="http://schemas.microsoft.com/office/2006/metadata/properties" ma:root="true" ma:fieldsID="9a58bb450c958adeb0091b061a85763f" ns3:_="" ns4:_="">
    <xsd:import namespace="9739a22b-6e21-4b8a-8184-23a78dbac9b9"/>
    <xsd:import namespace="34eaa96a-66aa-4f11-b2f0-6fb6d9a32fb7"/>
    <xsd:element name="properties">
      <xsd:complexType>
        <xsd:sequence>
          <xsd:element name="documentManagement">
            <xsd:complexType>
              <xsd:all>
                <xsd:element ref="ns3:MediaServiceDateTaken" minOccurs="0"/>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9a22b-6e21-4b8a-8184-23a78dbac9b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aa96a-66aa-4f11-b2f0-6fb6d9a32f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48039C-7D62-4E40-AD48-F5DCA6304EDA}">
  <ds:schemaRefs>
    <ds:schemaRef ds:uri="http://schemas.microsoft.com/office/2006/metadata/properties"/>
    <ds:schemaRef ds:uri="http://schemas.microsoft.com/office/infopath/2007/PartnerControls"/>
    <ds:schemaRef ds:uri="9739a22b-6e21-4b8a-8184-23a78dbac9b9"/>
  </ds:schemaRefs>
</ds:datastoreItem>
</file>

<file path=customXml/itemProps2.xml><?xml version="1.0" encoding="utf-8"?>
<ds:datastoreItem xmlns:ds="http://schemas.openxmlformats.org/officeDocument/2006/customXml" ds:itemID="{696BC30D-FA85-4B67-B8F1-8B70DD449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9a22b-6e21-4b8a-8184-23a78dbac9b9"/>
    <ds:schemaRef ds:uri="34eaa96a-66aa-4f11-b2f0-6fb6d9a32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608E1-8146-46F8-BCAC-4A77265A930D}">
  <ds:schemaRefs>
    <ds:schemaRef ds:uri="http://schemas.openxmlformats.org/officeDocument/2006/bibliography"/>
  </ds:schemaRefs>
</ds:datastoreItem>
</file>

<file path=customXml/itemProps4.xml><?xml version="1.0" encoding="utf-8"?>
<ds:datastoreItem xmlns:ds="http://schemas.openxmlformats.org/officeDocument/2006/customXml" ds:itemID="{ADE8E1C0-81B4-49D3-85AC-F67ED269A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25616</Words>
  <Characters>146017</Characters>
  <Application>Microsoft Office Word</Application>
  <DocSecurity>0</DocSecurity>
  <Lines>1216</Lines>
  <Paragraphs>342</Paragraphs>
  <ScaleCrop>false</ScaleCrop>
  <Company/>
  <LinksUpToDate>false</LinksUpToDate>
  <CharactersWithSpaces>171291</CharactersWithSpaces>
  <SharedDoc>false</SharedDoc>
  <HLinks>
    <vt:vector size="300" baseType="variant">
      <vt:variant>
        <vt:i4>589941</vt:i4>
      </vt:variant>
      <vt:variant>
        <vt:i4>285</vt:i4>
      </vt:variant>
      <vt:variant>
        <vt:i4>0</vt:i4>
      </vt:variant>
      <vt:variant>
        <vt:i4>5</vt:i4>
      </vt:variant>
      <vt:variant>
        <vt:lpwstr>mailto:DigitalAccess@Home</vt:lpwstr>
      </vt:variant>
      <vt:variant>
        <vt:lpwstr/>
      </vt:variant>
      <vt:variant>
        <vt:i4>2031665</vt:i4>
      </vt:variant>
      <vt:variant>
        <vt:i4>278</vt:i4>
      </vt:variant>
      <vt:variant>
        <vt:i4>0</vt:i4>
      </vt:variant>
      <vt:variant>
        <vt:i4>5</vt:i4>
      </vt:variant>
      <vt:variant>
        <vt:lpwstr/>
      </vt:variant>
      <vt:variant>
        <vt:lpwstr>_Toc169709909</vt:lpwstr>
      </vt:variant>
      <vt:variant>
        <vt:i4>2031665</vt:i4>
      </vt:variant>
      <vt:variant>
        <vt:i4>272</vt:i4>
      </vt:variant>
      <vt:variant>
        <vt:i4>0</vt:i4>
      </vt:variant>
      <vt:variant>
        <vt:i4>5</vt:i4>
      </vt:variant>
      <vt:variant>
        <vt:lpwstr/>
      </vt:variant>
      <vt:variant>
        <vt:lpwstr>_Toc169709908</vt:lpwstr>
      </vt:variant>
      <vt:variant>
        <vt:i4>2031665</vt:i4>
      </vt:variant>
      <vt:variant>
        <vt:i4>266</vt:i4>
      </vt:variant>
      <vt:variant>
        <vt:i4>0</vt:i4>
      </vt:variant>
      <vt:variant>
        <vt:i4>5</vt:i4>
      </vt:variant>
      <vt:variant>
        <vt:lpwstr/>
      </vt:variant>
      <vt:variant>
        <vt:lpwstr>_Toc169709907</vt:lpwstr>
      </vt:variant>
      <vt:variant>
        <vt:i4>2031665</vt:i4>
      </vt:variant>
      <vt:variant>
        <vt:i4>260</vt:i4>
      </vt:variant>
      <vt:variant>
        <vt:i4>0</vt:i4>
      </vt:variant>
      <vt:variant>
        <vt:i4>5</vt:i4>
      </vt:variant>
      <vt:variant>
        <vt:lpwstr/>
      </vt:variant>
      <vt:variant>
        <vt:lpwstr>_Toc169709906</vt:lpwstr>
      </vt:variant>
      <vt:variant>
        <vt:i4>2031665</vt:i4>
      </vt:variant>
      <vt:variant>
        <vt:i4>254</vt:i4>
      </vt:variant>
      <vt:variant>
        <vt:i4>0</vt:i4>
      </vt:variant>
      <vt:variant>
        <vt:i4>5</vt:i4>
      </vt:variant>
      <vt:variant>
        <vt:lpwstr/>
      </vt:variant>
      <vt:variant>
        <vt:lpwstr>_Toc169709905</vt:lpwstr>
      </vt:variant>
      <vt:variant>
        <vt:i4>2031665</vt:i4>
      </vt:variant>
      <vt:variant>
        <vt:i4>248</vt:i4>
      </vt:variant>
      <vt:variant>
        <vt:i4>0</vt:i4>
      </vt:variant>
      <vt:variant>
        <vt:i4>5</vt:i4>
      </vt:variant>
      <vt:variant>
        <vt:lpwstr/>
      </vt:variant>
      <vt:variant>
        <vt:lpwstr>_Toc169709904</vt:lpwstr>
      </vt:variant>
      <vt:variant>
        <vt:i4>2031665</vt:i4>
      </vt:variant>
      <vt:variant>
        <vt:i4>242</vt:i4>
      </vt:variant>
      <vt:variant>
        <vt:i4>0</vt:i4>
      </vt:variant>
      <vt:variant>
        <vt:i4>5</vt:i4>
      </vt:variant>
      <vt:variant>
        <vt:lpwstr/>
      </vt:variant>
      <vt:variant>
        <vt:lpwstr>_Toc169709903</vt:lpwstr>
      </vt:variant>
      <vt:variant>
        <vt:i4>2031665</vt:i4>
      </vt:variant>
      <vt:variant>
        <vt:i4>236</vt:i4>
      </vt:variant>
      <vt:variant>
        <vt:i4>0</vt:i4>
      </vt:variant>
      <vt:variant>
        <vt:i4>5</vt:i4>
      </vt:variant>
      <vt:variant>
        <vt:lpwstr/>
      </vt:variant>
      <vt:variant>
        <vt:lpwstr>_Toc169709902</vt:lpwstr>
      </vt:variant>
      <vt:variant>
        <vt:i4>2031665</vt:i4>
      </vt:variant>
      <vt:variant>
        <vt:i4>230</vt:i4>
      </vt:variant>
      <vt:variant>
        <vt:i4>0</vt:i4>
      </vt:variant>
      <vt:variant>
        <vt:i4>5</vt:i4>
      </vt:variant>
      <vt:variant>
        <vt:lpwstr/>
      </vt:variant>
      <vt:variant>
        <vt:lpwstr>_Toc169709901</vt:lpwstr>
      </vt:variant>
      <vt:variant>
        <vt:i4>2031665</vt:i4>
      </vt:variant>
      <vt:variant>
        <vt:i4>224</vt:i4>
      </vt:variant>
      <vt:variant>
        <vt:i4>0</vt:i4>
      </vt:variant>
      <vt:variant>
        <vt:i4>5</vt:i4>
      </vt:variant>
      <vt:variant>
        <vt:lpwstr/>
      </vt:variant>
      <vt:variant>
        <vt:lpwstr>_Toc169709900</vt:lpwstr>
      </vt:variant>
      <vt:variant>
        <vt:i4>1441840</vt:i4>
      </vt:variant>
      <vt:variant>
        <vt:i4>218</vt:i4>
      </vt:variant>
      <vt:variant>
        <vt:i4>0</vt:i4>
      </vt:variant>
      <vt:variant>
        <vt:i4>5</vt:i4>
      </vt:variant>
      <vt:variant>
        <vt:lpwstr/>
      </vt:variant>
      <vt:variant>
        <vt:lpwstr>_Toc169709899</vt:lpwstr>
      </vt:variant>
      <vt:variant>
        <vt:i4>1441840</vt:i4>
      </vt:variant>
      <vt:variant>
        <vt:i4>212</vt:i4>
      </vt:variant>
      <vt:variant>
        <vt:i4>0</vt:i4>
      </vt:variant>
      <vt:variant>
        <vt:i4>5</vt:i4>
      </vt:variant>
      <vt:variant>
        <vt:lpwstr/>
      </vt:variant>
      <vt:variant>
        <vt:lpwstr>_Toc169709898</vt:lpwstr>
      </vt:variant>
      <vt:variant>
        <vt:i4>1441840</vt:i4>
      </vt:variant>
      <vt:variant>
        <vt:i4>206</vt:i4>
      </vt:variant>
      <vt:variant>
        <vt:i4>0</vt:i4>
      </vt:variant>
      <vt:variant>
        <vt:i4>5</vt:i4>
      </vt:variant>
      <vt:variant>
        <vt:lpwstr/>
      </vt:variant>
      <vt:variant>
        <vt:lpwstr>_Toc169709897</vt:lpwstr>
      </vt:variant>
      <vt:variant>
        <vt:i4>1441840</vt:i4>
      </vt:variant>
      <vt:variant>
        <vt:i4>200</vt:i4>
      </vt:variant>
      <vt:variant>
        <vt:i4>0</vt:i4>
      </vt:variant>
      <vt:variant>
        <vt:i4>5</vt:i4>
      </vt:variant>
      <vt:variant>
        <vt:lpwstr/>
      </vt:variant>
      <vt:variant>
        <vt:lpwstr>_Toc169709896</vt:lpwstr>
      </vt:variant>
      <vt:variant>
        <vt:i4>1441840</vt:i4>
      </vt:variant>
      <vt:variant>
        <vt:i4>194</vt:i4>
      </vt:variant>
      <vt:variant>
        <vt:i4>0</vt:i4>
      </vt:variant>
      <vt:variant>
        <vt:i4>5</vt:i4>
      </vt:variant>
      <vt:variant>
        <vt:lpwstr/>
      </vt:variant>
      <vt:variant>
        <vt:lpwstr>_Toc169709895</vt:lpwstr>
      </vt:variant>
      <vt:variant>
        <vt:i4>1441840</vt:i4>
      </vt:variant>
      <vt:variant>
        <vt:i4>188</vt:i4>
      </vt:variant>
      <vt:variant>
        <vt:i4>0</vt:i4>
      </vt:variant>
      <vt:variant>
        <vt:i4>5</vt:i4>
      </vt:variant>
      <vt:variant>
        <vt:lpwstr/>
      </vt:variant>
      <vt:variant>
        <vt:lpwstr>_Toc169709894</vt:lpwstr>
      </vt:variant>
      <vt:variant>
        <vt:i4>1441840</vt:i4>
      </vt:variant>
      <vt:variant>
        <vt:i4>182</vt:i4>
      </vt:variant>
      <vt:variant>
        <vt:i4>0</vt:i4>
      </vt:variant>
      <vt:variant>
        <vt:i4>5</vt:i4>
      </vt:variant>
      <vt:variant>
        <vt:lpwstr/>
      </vt:variant>
      <vt:variant>
        <vt:lpwstr>_Toc169709893</vt:lpwstr>
      </vt:variant>
      <vt:variant>
        <vt:i4>1441840</vt:i4>
      </vt:variant>
      <vt:variant>
        <vt:i4>176</vt:i4>
      </vt:variant>
      <vt:variant>
        <vt:i4>0</vt:i4>
      </vt:variant>
      <vt:variant>
        <vt:i4>5</vt:i4>
      </vt:variant>
      <vt:variant>
        <vt:lpwstr/>
      </vt:variant>
      <vt:variant>
        <vt:lpwstr>_Toc169709892</vt:lpwstr>
      </vt:variant>
      <vt:variant>
        <vt:i4>1441840</vt:i4>
      </vt:variant>
      <vt:variant>
        <vt:i4>170</vt:i4>
      </vt:variant>
      <vt:variant>
        <vt:i4>0</vt:i4>
      </vt:variant>
      <vt:variant>
        <vt:i4>5</vt:i4>
      </vt:variant>
      <vt:variant>
        <vt:lpwstr/>
      </vt:variant>
      <vt:variant>
        <vt:lpwstr>_Toc169709891</vt:lpwstr>
      </vt:variant>
      <vt:variant>
        <vt:i4>1441840</vt:i4>
      </vt:variant>
      <vt:variant>
        <vt:i4>164</vt:i4>
      </vt:variant>
      <vt:variant>
        <vt:i4>0</vt:i4>
      </vt:variant>
      <vt:variant>
        <vt:i4>5</vt:i4>
      </vt:variant>
      <vt:variant>
        <vt:lpwstr/>
      </vt:variant>
      <vt:variant>
        <vt:lpwstr>_Toc169709890</vt:lpwstr>
      </vt:variant>
      <vt:variant>
        <vt:i4>1507376</vt:i4>
      </vt:variant>
      <vt:variant>
        <vt:i4>158</vt:i4>
      </vt:variant>
      <vt:variant>
        <vt:i4>0</vt:i4>
      </vt:variant>
      <vt:variant>
        <vt:i4>5</vt:i4>
      </vt:variant>
      <vt:variant>
        <vt:lpwstr/>
      </vt:variant>
      <vt:variant>
        <vt:lpwstr>_Toc169709889</vt:lpwstr>
      </vt:variant>
      <vt:variant>
        <vt:i4>1507376</vt:i4>
      </vt:variant>
      <vt:variant>
        <vt:i4>152</vt:i4>
      </vt:variant>
      <vt:variant>
        <vt:i4>0</vt:i4>
      </vt:variant>
      <vt:variant>
        <vt:i4>5</vt:i4>
      </vt:variant>
      <vt:variant>
        <vt:lpwstr/>
      </vt:variant>
      <vt:variant>
        <vt:lpwstr>_Toc169709888</vt:lpwstr>
      </vt:variant>
      <vt:variant>
        <vt:i4>1507376</vt:i4>
      </vt:variant>
      <vt:variant>
        <vt:i4>146</vt:i4>
      </vt:variant>
      <vt:variant>
        <vt:i4>0</vt:i4>
      </vt:variant>
      <vt:variant>
        <vt:i4>5</vt:i4>
      </vt:variant>
      <vt:variant>
        <vt:lpwstr/>
      </vt:variant>
      <vt:variant>
        <vt:lpwstr>_Toc169709887</vt:lpwstr>
      </vt:variant>
      <vt:variant>
        <vt:i4>1507376</vt:i4>
      </vt:variant>
      <vt:variant>
        <vt:i4>140</vt:i4>
      </vt:variant>
      <vt:variant>
        <vt:i4>0</vt:i4>
      </vt:variant>
      <vt:variant>
        <vt:i4>5</vt:i4>
      </vt:variant>
      <vt:variant>
        <vt:lpwstr/>
      </vt:variant>
      <vt:variant>
        <vt:lpwstr>_Toc169709886</vt:lpwstr>
      </vt:variant>
      <vt:variant>
        <vt:i4>1507376</vt:i4>
      </vt:variant>
      <vt:variant>
        <vt:i4>134</vt:i4>
      </vt:variant>
      <vt:variant>
        <vt:i4>0</vt:i4>
      </vt:variant>
      <vt:variant>
        <vt:i4>5</vt:i4>
      </vt:variant>
      <vt:variant>
        <vt:lpwstr/>
      </vt:variant>
      <vt:variant>
        <vt:lpwstr>_Toc169709885</vt:lpwstr>
      </vt:variant>
      <vt:variant>
        <vt:i4>1507376</vt:i4>
      </vt:variant>
      <vt:variant>
        <vt:i4>128</vt:i4>
      </vt:variant>
      <vt:variant>
        <vt:i4>0</vt:i4>
      </vt:variant>
      <vt:variant>
        <vt:i4>5</vt:i4>
      </vt:variant>
      <vt:variant>
        <vt:lpwstr/>
      </vt:variant>
      <vt:variant>
        <vt:lpwstr>_Toc169709884</vt:lpwstr>
      </vt:variant>
      <vt:variant>
        <vt:i4>1507376</vt:i4>
      </vt:variant>
      <vt:variant>
        <vt:i4>122</vt:i4>
      </vt:variant>
      <vt:variant>
        <vt:i4>0</vt:i4>
      </vt:variant>
      <vt:variant>
        <vt:i4>5</vt:i4>
      </vt:variant>
      <vt:variant>
        <vt:lpwstr/>
      </vt:variant>
      <vt:variant>
        <vt:lpwstr>_Toc169709883</vt:lpwstr>
      </vt:variant>
      <vt:variant>
        <vt:i4>1507376</vt:i4>
      </vt:variant>
      <vt:variant>
        <vt:i4>116</vt:i4>
      </vt:variant>
      <vt:variant>
        <vt:i4>0</vt:i4>
      </vt:variant>
      <vt:variant>
        <vt:i4>5</vt:i4>
      </vt:variant>
      <vt:variant>
        <vt:lpwstr/>
      </vt:variant>
      <vt:variant>
        <vt:lpwstr>_Toc169709882</vt:lpwstr>
      </vt:variant>
      <vt:variant>
        <vt:i4>1507376</vt:i4>
      </vt:variant>
      <vt:variant>
        <vt:i4>110</vt:i4>
      </vt:variant>
      <vt:variant>
        <vt:i4>0</vt:i4>
      </vt:variant>
      <vt:variant>
        <vt:i4>5</vt:i4>
      </vt:variant>
      <vt:variant>
        <vt:lpwstr/>
      </vt:variant>
      <vt:variant>
        <vt:lpwstr>_Toc169709881</vt:lpwstr>
      </vt:variant>
      <vt:variant>
        <vt:i4>1507376</vt:i4>
      </vt:variant>
      <vt:variant>
        <vt:i4>104</vt:i4>
      </vt:variant>
      <vt:variant>
        <vt:i4>0</vt:i4>
      </vt:variant>
      <vt:variant>
        <vt:i4>5</vt:i4>
      </vt:variant>
      <vt:variant>
        <vt:lpwstr/>
      </vt:variant>
      <vt:variant>
        <vt:lpwstr>_Toc169709880</vt:lpwstr>
      </vt:variant>
      <vt:variant>
        <vt:i4>1572912</vt:i4>
      </vt:variant>
      <vt:variant>
        <vt:i4>98</vt:i4>
      </vt:variant>
      <vt:variant>
        <vt:i4>0</vt:i4>
      </vt:variant>
      <vt:variant>
        <vt:i4>5</vt:i4>
      </vt:variant>
      <vt:variant>
        <vt:lpwstr/>
      </vt:variant>
      <vt:variant>
        <vt:lpwstr>_Toc169709879</vt:lpwstr>
      </vt:variant>
      <vt:variant>
        <vt:i4>1572912</vt:i4>
      </vt:variant>
      <vt:variant>
        <vt:i4>92</vt:i4>
      </vt:variant>
      <vt:variant>
        <vt:i4>0</vt:i4>
      </vt:variant>
      <vt:variant>
        <vt:i4>5</vt:i4>
      </vt:variant>
      <vt:variant>
        <vt:lpwstr/>
      </vt:variant>
      <vt:variant>
        <vt:lpwstr>_Toc169709878</vt:lpwstr>
      </vt:variant>
      <vt:variant>
        <vt:i4>1572912</vt:i4>
      </vt:variant>
      <vt:variant>
        <vt:i4>86</vt:i4>
      </vt:variant>
      <vt:variant>
        <vt:i4>0</vt:i4>
      </vt:variant>
      <vt:variant>
        <vt:i4>5</vt:i4>
      </vt:variant>
      <vt:variant>
        <vt:lpwstr/>
      </vt:variant>
      <vt:variant>
        <vt:lpwstr>_Toc169709877</vt:lpwstr>
      </vt:variant>
      <vt:variant>
        <vt:i4>1572912</vt:i4>
      </vt:variant>
      <vt:variant>
        <vt:i4>80</vt:i4>
      </vt:variant>
      <vt:variant>
        <vt:i4>0</vt:i4>
      </vt:variant>
      <vt:variant>
        <vt:i4>5</vt:i4>
      </vt:variant>
      <vt:variant>
        <vt:lpwstr/>
      </vt:variant>
      <vt:variant>
        <vt:lpwstr>_Toc169709876</vt:lpwstr>
      </vt:variant>
      <vt:variant>
        <vt:i4>1572912</vt:i4>
      </vt:variant>
      <vt:variant>
        <vt:i4>74</vt:i4>
      </vt:variant>
      <vt:variant>
        <vt:i4>0</vt:i4>
      </vt:variant>
      <vt:variant>
        <vt:i4>5</vt:i4>
      </vt:variant>
      <vt:variant>
        <vt:lpwstr/>
      </vt:variant>
      <vt:variant>
        <vt:lpwstr>_Toc169709875</vt:lpwstr>
      </vt:variant>
      <vt:variant>
        <vt:i4>1572912</vt:i4>
      </vt:variant>
      <vt:variant>
        <vt:i4>68</vt:i4>
      </vt:variant>
      <vt:variant>
        <vt:i4>0</vt:i4>
      </vt:variant>
      <vt:variant>
        <vt:i4>5</vt:i4>
      </vt:variant>
      <vt:variant>
        <vt:lpwstr/>
      </vt:variant>
      <vt:variant>
        <vt:lpwstr>_Toc169709874</vt:lpwstr>
      </vt:variant>
      <vt:variant>
        <vt:i4>1572912</vt:i4>
      </vt:variant>
      <vt:variant>
        <vt:i4>62</vt:i4>
      </vt:variant>
      <vt:variant>
        <vt:i4>0</vt:i4>
      </vt:variant>
      <vt:variant>
        <vt:i4>5</vt:i4>
      </vt:variant>
      <vt:variant>
        <vt:lpwstr/>
      </vt:variant>
      <vt:variant>
        <vt:lpwstr>_Toc169709873</vt:lpwstr>
      </vt:variant>
      <vt:variant>
        <vt:i4>1572912</vt:i4>
      </vt:variant>
      <vt:variant>
        <vt:i4>56</vt:i4>
      </vt:variant>
      <vt:variant>
        <vt:i4>0</vt:i4>
      </vt:variant>
      <vt:variant>
        <vt:i4>5</vt:i4>
      </vt:variant>
      <vt:variant>
        <vt:lpwstr/>
      </vt:variant>
      <vt:variant>
        <vt:lpwstr>_Toc169709872</vt:lpwstr>
      </vt:variant>
      <vt:variant>
        <vt:i4>1572912</vt:i4>
      </vt:variant>
      <vt:variant>
        <vt:i4>50</vt:i4>
      </vt:variant>
      <vt:variant>
        <vt:i4>0</vt:i4>
      </vt:variant>
      <vt:variant>
        <vt:i4>5</vt:i4>
      </vt:variant>
      <vt:variant>
        <vt:lpwstr/>
      </vt:variant>
      <vt:variant>
        <vt:lpwstr>_Toc169709871</vt:lpwstr>
      </vt:variant>
      <vt:variant>
        <vt:i4>1572912</vt:i4>
      </vt:variant>
      <vt:variant>
        <vt:i4>44</vt:i4>
      </vt:variant>
      <vt:variant>
        <vt:i4>0</vt:i4>
      </vt:variant>
      <vt:variant>
        <vt:i4>5</vt:i4>
      </vt:variant>
      <vt:variant>
        <vt:lpwstr/>
      </vt:variant>
      <vt:variant>
        <vt:lpwstr>_Toc169709870</vt:lpwstr>
      </vt:variant>
      <vt:variant>
        <vt:i4>1638448</vt:i4>
      </vt:variant>
      <vt:variant>
        <vt:i4>38</vt:i4>
      </vt:variant>
      <vt:variant>
        <vt:i4>0</vt:i4>
      </vt:variant>
      <vt:variant>
        <vt:i4>5</vt:i4>
      </vt:variant>
      <vt:variant>
        <vt:lpwstr/>
      </vt:variant>
      <vt:variant>
        <vt:lpwstr>_Toc169709869</vt:lpwstr>
      </vt:variant>
      <vt:variant>
        <vt:i4>1638448</vt:i4>
      </vt:variant>
      <vt:variant>
        <vt:i4>32</vt:i4>
      </vt:variant>
      <vt:variant>
        <vt:i4>0</vt:i4>
      </vt:variant>
      <vt:variant>
        <vt:i4>5</vt:i4>
      </vt:variant>
      <vt:variant>
        <vt:lpwstr/>
      </vt:variant>
      <vt:variant>
        <vt:lpwstr>_Toc169709868</vt:lpwstr>
      </vt:variant>
      <vt:variant>
        <vt:i4>1638448</vt:i4>
      </vt:variant>
      <vt:variant>
        <vt:i4>26</vt:i4>
      </vt:variant>
      <vt:variant>
        <vt:i4>0</vt:i4>
      </vt:variant>
      <vt:variant>
        <vt:i4>5</vt:i4>
      </vt:variant>
      <vt:variant>
        <vt:lpwstr/>
      </vt:variant>
      <vt:variant>
        <vt:lpwstr>_Toc169709867</vt:lpwstr>
      </vt:variant>
      <vt:variant>
        <vt:i4>1638448</vt:i4>
      </vt:variant>
      <vt:variant>
        <vt:i4>20</vt:i4>
      </vt:variant>
      <vt:variant>
        <vt:i4>0</vt:i4>
      </vt:variant>
      <vt:variant>
        <vt:i4>5</vt:i4>
      </vt:variant>
      <vt:variant>
        <vt:lpwstr/>
      </vt:variant>
      <vt:variant>
        <vt:lpwstr>_Toc169709866</vt:lpwstr>
      </vt:variant>
      <vt:variant>
        <vt:i4>1638448</vt:i4>
      </vt:variant>
      <vt:variant>
        <vt:i4>14</vt:i4>
      </vt:variant>
      <vt:variant>
        <vt:i4>0</vt:i4>
      </vt:variant>
      <vt:variant>
        <vt:i4>5</vt:i4>
      </vt:variant>
      <vt:variant>
        <vt:lpwstr/>
      </vt:variant>
      <vt:variant>
        <vt:lpwstr>_Toc169709865</vt:lpwstr>
      </vt:variant>
      <vt:variant>
        <vt:i4>1638448</vt:i4>
      </vt:variant>
      <vt:variant>
        <vt:i4>8</vt:i4>
      </vt:variant>
      <vt:variant>
        <vt:i4>0</vt:i4>
      </vt:variant>
      <vt:variant>
        <vt:i4>5</vt:i4>
      </vt:variant>
      <vt:variant>
        <vt:lpwstr/>
      </vt:variant>
      <vt:variant>
        <vt:lpwstr>_Toc169709864</vt:lpwstr>
      </vt:variant>
      <vt:variant>
        <vt:i4>1638448</vt:i4>
      </vt:variant>
      <vt:variant>
        <vt:i4>2</vt:i4>
      </vt:variant>
      <vt:variant>
        <vt:i4>0</vt:i4>
      </vt:variant>
      <vt:variant>
        <vt:i4>5</vt:i4>
      </vt:variant>
      <vt:variant>
        <vt:lpwstr/>
      </vt:variant>
      <vt:variant>
        <vt:lpwstr>_Toc169709863</vt:lpwstr>
      </vt:variant>
      <vt:variant>
        <vt:i4>3997793</vt:i4>
      </vt:variant>
      <vt:variant>
        <vt:i4>3</vt:i4>
      </vt:variant>
      <vt:variant>
        <vt:i4>0</vt:i4>
      </vt:variant>
      <vt:variant>
        <vt:i4>5</vt:i4>
      </vt:variant>
      <vt:variant>
        <vt:lpwstr>https://www.cpf.gov.sg/member/cpf-overview</vt:lpwstr>
      </vt:variant>
      <vt:variant>
        <vt:lpwstr/>
      </vt:variant>
      <vt:variant>
        <vt:i4>6422579</vt:i4>
      </vt:variant>
      <vt:variant>
        <vt:i4>0</vt:i4>
      </vt:variant>
      <vt:variant>
        <vt:i4>0</vt:i4>
      </vt:variant>
      <vt:variant>
        <vt:i4>5</vt:i4>
      </vt:variant>
      <vt:variant>
        <vt:lpwstr>https://www.straitstimes.com/business/companies-markets/singapore-posts-highest-percentage-of-women-ceos-globally-deloitte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Devi MUNIYANDI FROM.TP (MSF)</dc:creator>
  <cp:keywords/>
  <dc:description/>
  <cp:lastModifiedBy>Jessica Radha Kerkar</cp:lastModifiedBy>
  <cp:revision>2</cp:revision>
  <dcterms:created xsi:type="dcterms:W3CDTF">2024-07-05T09:40:00Z</dcterms:created>
  <dcterms:modified xsi:type="dcterms:W3CDTF">2024-07-05T09:40:00Z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2024-04-08T01:56:21Z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ee3a6f35-47d5-4c9e-9e64-6acd72144306</vt:lpwstr>
  </property>
  <property fmtid="{D5CDD505-2E9C-101B-9397-08002B2CF9AE}" pid="8" name="MSIP_Label_5434c4c7-833e-41e4-b0ab-cdb227a2f6f7_ContentBits">
    <vt:lpwstr>0</vt:lpwstr>
  </property>
  <property fmtid="{D5CDD505-2E9C-101B-9397-08002B2CF9AE}" pid="9" name="ContentTypeId">
    <vt:lpwstr>0x010100AEEB34B453C01D4B80AF2D8FFB71DFAD</vt:lpwstr>
  </property>
</Properties>
</file>